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22A40">
      <w:pPr>
        <w:rPr>
          <w:rFonts w:ascii="宋体" w:hAnsi="宋体"/>
          <w:b/>
          <w:bCs/>
          <w:sz w:val="60"/>
          <w:szCs w:val="60"/>
        </w:rPr>
      </w:pPr>
      <w:r>
        <w:rPr>
          <w:rFonts w:hint="eastAsia" w:ascii="宋体" w:hAnsi="宋体"/>
          <w:bCs/>
          <w:sz w:val="36"/>
          <w:szCs w:val="36"/>
        </w:rPr>
        <w:t>项目编号：</w:t>
      </w:r>
      <w:r>
        <w:rPr>
          <w:rFonts w:ascii="宋体" w:hAnsi="宋体"/>
          <w:bCs/>
          <w:sz w:val="36"/>
          <w:szCs w:val="36"/>
        </w:rPr>
        <w:t>RJS</w:t>
      </w:r>
      <w:r>
        <w:rPr>
          <w:rFonts w:hint="eastAsia" w:ascii="宋体" w:hAnsi="宋体"/>
          <w:bCs/>
          <w:sz w:val="36"/>
          <w:szCs w:val="36"/>
        </w:rPr>
        <w:t>-202</w:t>
      </w:r>
      <w:r>
        <w:rPr>
          <w:rFonts w:ascii="宋体" w:hAnsi="宋体"/>
          <w:bCs/>
          <w:sz w:val="36"/>
          <w:szCs w:val="36"/>
        </w:rPr>
        <w:t>50606</w:t>
      </w:r>
    </w:p>
    <w:p w14:paraId="77ABC55E">
      <w:pPr>
        <w:pStyle w:val="2"/>
        <w:rPr>
          <w:rFonts w:hAnsi="宋体"/>
        </w:rPr>
      </w:pPr>
    </w:p>
    <w:p w14:paraId="13BFAB8D">
      <w:pPr>
        <w:pStyle w:val="2"/>
        <w:rPr>
          <w:rFonts w:hAnsi="宋体"/>
        </w:rPr>
      </w:pPr>
    </w:p>
    <w:p w14:paraId="3B24F233">
      <w:pPr>
        <w:pStyle w:val="2"/>
        <w:rPr>
          <w:rFonts w:hAnsi="宋体"/>
        </w:rPr>
      </w:pPr>
    </w:p>
    <w:p w14:paraId="136C6E4A">
      <w:pPr>
        <w:spacing w:line="360" w:lineRule="auto"/>
        <w:jc w:val="center"/>
        <w:rPr>
          <w:rFonts w:ascii="宋体" w:hAnsi="宋体"/>
          <w:b/>
          <w:bCs/>
          <w:sz w:val="56"/>
          <w:szCs w:val="56"/>
        </w:rPr>
      </w:pPr>
      <w:r>
        <w:rPr>
          <w:rFonts w:hint="eastAsia" w:ascii="宋体" w:hAnsi="宋体"/>
          <w:b/>
          <w:bCs/>
          <w:sz w:val="56"/>
          <w:szCs w:val="56"/>
        </w:rPr>
        <w:t>中国科学院软件研究所7号楼1</w:t>
      </w:r>
      <w:r>
        <w:rPr>
          <w:rFonts w:ascii="宋体" w:hAnsi="宋体"/>
          <w:b/>
          <w:bCs/>
          <w:sz w:val="56"/>
          <w:szCs w:val="56"/>
        </w:rPr>
        <w:t>0</w:t>
      </w:r>
      <w:r>
        <w:rPr>
          <w:rFonts w:hint="eastAsia" w:ascii="宋体" w:hAnsi="宋体"/>
          <w:b/>
          <w:bCs/>
          <w:sz w:val="56"/>
          <w:szCs w:val="56"/>
        </w:rPr>
        <w:t>层</w:t>
      </w:r>
      <w:bookmarkStart w:id="0" w:name="OLE_LINK1"/>
      <w:bookmarkStart w:id="1" w:name="OLE_LINK2"/>
      <w:r>
        <w:rPr>
          <w:rFonts w:hint="eastAsia" w:ascii="宋体" w:hAnsi="宋体"/>
          <w:b/>
          <w:bCs/>
          <w:sz w:val="56"/>
          <w:szCs w:val="56"/>
        </w:rPr>
        <w:t>装修改造项目</w:t>
      </w:r>
      <w:bookmarkEnd w:id="0"/>
      <w:bookmarkEnd w:id="1"/>
    </w:p>
    <w:p w14:paraId="41CFC59B">
      <w:pPr>
        <w:spacing w:line="360" w:lineRule="auto"/>
        <w:jc w:val="center"/>
        <w:rPr>
          <w:rFonts w:ascii="宋体" w:hAnsi="宋体"/>
          <w:b/>
          <w:bCs/>
          <w:sz w:val="56"/>
          <w:szCs w:val="56"/>
        </w:rPr>
      </w:pPr>
    </w:p>
    <w:p w14:paraId="5ADC920A">
      <w:pPr>
        <w:spacing w:line="360" w:lineRule="auto"/>
        <w:jc w:val="center"/>
        <w:rPr>
          <w:rFonts w:ascii="宋体" w:hAnsi="宋体"/>
          <w:b/>
          <w:bCs/>
          <w:sz w:val="56"/>
          <w:szCs w:val="56"/>
        </w:rPr>
      </w:pPr>
      <w:r>
        <w:rPr>
          <w:rFonts w:hint="eastAsia" w:ascii="宋体" w:hAnsi="宋体"/>
          <w:b/>
          <w:bCs/>
          <w:sz w:val="56"/>
          <w:szCs w:val="56"/>
        </w:rPr>
        <w:t>比选</w:t>
      </w:r>
      <w:r>
        <w:rPr>
          <w:rFonts w:ascii="宋体" w:hAnsi="宋体"/>
          <w:b/>
          <w:bCs/>
          <w:sz w:val="56"/>
          <w:szCs w:val="56"/>
        </w:rPr>
        <w:t>文件</w:t>
      </w:r>
    </w:p>
    <w:p w14:paraId="5ADB7574">
      <w:pPr>
        <w:tabs>
          <w:tab w:val="left" w:pos="6600"/>
        </w:tabs>
        <w:spacing w:line="360" w:lineRule="auto"/>
        <w:jc w:val="left"/>
        <w:rPr>
          <w:rFonts w:ascii="宋体" w:hAnsi="宋体"/>
          <w:b/>
          <w:bCs/>
          <w:sz w:val="60"/>
          <w:szCs w:val="60"/>
        </w:rPr>
      </w:pPr>
      <w:r>
        <w:rPr>
          <w:rFonts w:ascii="宋体" w:hAnsi="宋体"/>
          <w:b/>
          <w:bCs/>
          <w:sz w:val="60"/>
          <w:szCs w:val="60"/>
        </w:rPr>
        <w:tab/>
      </w:r>
    </w:p>
    <w:p w14:paraId="3035CB98">
      <w:pPr>
        <w:spacing w:line="360" w:lineRule="auto"/>
        <w:jc w:val="center"/>
        <w:rPr>
          <w:rFonts w:ascii="宋体" w:hAnsi="宋体"/>
          <w:b/>
          <w:bCs/>
          <w:sz w:val="60"/>
          <w:szCs w:val="60"/>
        </w:rPr>
      </w:pPr>
    </w:p>
    <w:p w14:paraId="1AD041A4">
      <w:pPr>
        <w:spacing w:line="360" w:lineRule="auto"/>
        <w:jc w:val="center"/>
        <w:rPr>
          <w:rFonts w:ascii="宋体" w:hAnsi="宋体"/>
          <w:b/>
          <w:bCs/>
          <w:sz w:val="60"/>
          <w:szCs w:val="60"/>
        </w:rPr>
      </w:pPr>
    </w:p>
    <w:p w14:paraId="4272E5A1">
      <w:pPr>
        <w:tabs>
          <w:tab w:val="left" w:pos="5609"/>
        </w:tabs>
        <w:spacing w:line="360" w:lineRule="auto"/>
        <w:jc w:val="left"/>
        <w:rPr>
          <w:rFonts w:ascii="宋体" w:hAnsi="宋体"/>
          <w:bCs/>
          <w:sz w:val="36"/>
          <w:szCs w:val="36"/>
        </w:rPr>
      </w:pPr>
    </w:p>
    <w:p w14:paraId="4CE01C0B">
      <w:pPr>
        <w:tabs>
          <w:tab w:val="left" w:pos="3240"/>
          <w:tab w:val="left" w:pos="3420"/>
        </w:tabs>
        <w:spacing w:line="360" w:lineRule="auto"/>
        <w:jc w:val="center"/>
        <w:rPr>
          <w:rFonts w:ascii="宋体" w:hAnsi="宋体"/>
          <w:bCs/>
          <w:sz w:val="36"/>
          <w:szCs w:val="36"/>
        </w:rPr>
      </w:pPr>
      <w:r>
        <w:rPr>
          <w:rFonts w:ascii="宋体" w:hAnsi="宋体"/>
          <w:bCs/>
          <w:sz w:val="36"/>
          <w:szCs w:val="36"/>
        </w:rPr>
        <w:t>采购人：</w:t>
      </w:r>
      <w:r>
        <w:rPr>
          <w:rFonts w:hint="eastAsia" w:ascii="宋体" w:hAnsi="宋体"/>
          <w:bCs/>
          <w:sz w:val="36"/>
          <w:szCs w:val="36"/>
        </w:rPr>
        <w:t>中国科学院软件研究所</w:t>
      </w:r>
    </w:p>
    <w:p w14:paraId="49633422">
      <w:pPr>
        <w:tabs>
          <w:tab w:val="left" w:pos="3240"/>
          <w:tab w:val="left" w:pos="3420"/>
        </w:tabs>
        <w:spacing w:line="360" w:lineRule="auto"/>
        <w:jc w:val="center"/>
        <w:rPr>
          <w:rFonts w:ascii="宋体" w:hAnsi="宋体"/>
          <w:bCs/>
          <w:sz w:val="36"/>
          <w:szCs w:val="36"/>
        </w:rPr>
      </w:pPr>
      <w:bookmarkStart w:id="2" w:name="_Hlk146543524"/>
      <w:r>
        <w:rPr>
          <w:rFonts w:hint="eastAsia" w:ascii="宋体" w:hAnsi="宋体"/>
          <w:bCs/>
          <w:sz w:val="36"/>
          <w:szCs w:val="36"/>
        </w:rPr>
        <w:t>日期：202</w:t>
      </w:r>
      <w:r>
        <w:rPr>
          <w:rFonts w:ascii="宋体" w:hAnsi="宋体"/>
          <w:bCs/>
          <w:sz w:val="36"/>
          <w:szCs w:val="36"/>
        </w:rPr>
        <w:t>5</w:t>
      </w:r>
      <w:r>
        <w:rPr>
          <w:rFonts w:hint="eastAsia" w:ascii="宋体" w:hAnsi="宋体"/>
          <w:bCs/>
          <w:sz w:val="36"/>
          <w:szCs w:val="36"/>
        </w:rPr>
        <w:t>年</w:t>
      </w:r>
      <w:r>
        <w:rPr>
          <w:rFonts w:ascii="宋体" w:hAnsi="宋体"/>
          <w:bCs/>
          <w:sz w:val="36"/>
          <w:szCs w:val="36"/>
        </w:rPr>
        <w:t>06</w:t>
      </w:r>
      <w:r>
        <w:rPr>
          <w:rFonts w:hint="eastAsia" w:ascii="宋体" w:hAnsi="宋体"/>
          <w:bCs/>
          <w:sz w:val="36"/>
          <w:szCs w:val="36"/>
        </w:rPr>
        <w:t>月</w:t>
      </w:r>
      <w:bookmarkEnd w:id="2"/>
      <w:r>
        <w:rPr>
          <w:rFonts w:hint="eastAsia" w:ascii="宋体" w:hAnsi="宋体"/>
          <w:bCs/>
          <w:sz w:val="36"/>
          <w:szCs w:val="36"/>
        </w:rPr>
        <w:t>0</w:t>
      </w:r>
      <w:r>
        <w:rPr>
          <w:rFonts w:ascii="宋体" w:hAnsi="宋体"/>
          <w:bCs/>
          <w:sz w:val="36"/>
          <w:szCs w:val="36"/>
        </w:rPr>
        <w:t>6</w:t>
      </w:r>
      <w:r>
        <w:rPr>
          <w:rFonts w:hint="eastAsia" w:ascii="宋体" w:hAnsi="宋体"/>
          <w:bCs/>
          <w:sz w:val="36"/>
          <w:szCs w:val="36"/>
        </w:rPr>
        <w:t>日</w:t>
      </w:r>
    </w:p>
    <w:p w14:paraId="7DD3CADF">
      <w:pPr>
        <w:pStyle w:val="29"/>
      </w:pPr>
    </w:p>
    <w:p w14:paraId="33AEF430">
      <w:pPr>
        <w:pStyle w:val="29"/>
      </w:pPr>
    </w:p>
    <w:p w14:paraId="5DB46491">
      <w:pPr>
        <w:pStyle w:val="29"/>
      </w:pPr>
    </w:p>
    <w:p w14:paraId="411ADB00">
      <w:pPr>
        <w:spacing w:line="360" w:lineRule="auto"/>
        <w:jc w:val="center"/>
        <w:outlineLvl w:val="0"/>
        <w:rPr>
          <w:rFonts w:ascii="宋体" w:hAnsi="宋体"/>
          <w:bCs/>
          <w:sz w:val="36"/>
          <w:szCs w:val="36"/>
        </w:rPr>
      </w:pPr>
      <w:r>
        <w:rPr>
          <w:rFonts w:ascii="宋体" w:hAnsi="宋体"/>
          <w:bCs/>
          <w:sz w:val="36"/>
          <w:szCs w:val="36"/>
        </w:rPr>
        <w:t xml:space="preserve"> </w:t>
      </w:r>
    </w:p>
    <w:p w14:paraId="2F0943D0">
      <w:pPr>
        <w:spacing w:line="360" w:lineRule="auto"/>
        <w:jc w:val="center"/>
        <w:outlineLvl w:val="0"/>
        <w:rPr>
          <w:rFonts w:ascii="宋体" w:hAnsi="宋体"/>
          <w:b/>
          <w:sz w:val="36"/>
          <w:szCs w:val="36"/>
        </w:rPr>
      </w:pPr>
      <w:r>
        <w:rPr>
          <w:rFonts w:hint="eastAsia" w:ascii="宋体" w:hAnsi="宋体"/>
          <w:b/>
          <w:sz w:val="36"/>
          <w:szCs w:val="36"/>
        </w:rPr>
        <w:t>目</w:t>
      </w:r>
      <w:r>
        <w:rPr>
          <w:rFonts w:ascii="宋体" w:hAnsi="宋体"/>
          <w:b/>
          <w:sz w:val="36"/>
          <w:szCs w:val="36"/>
        </w:rPr>
        <w:t xml:space="preserve">  </w:t>
      </w:r>
      <w:r>
        <w:rPr>
          <w:rFonts w:hint="eastAsia" w:ascii="宋体" w:hAnsi="宋体"/>
          <w:b/>
          <w:sz w:val="36"/>
          <w:szCs w:val="36"/>
        </w:rPr>
        <w:t>录</w:t>
      </w:r>
    </w:p>
    <w:p w14:paraId="117B44E1">
      <w:pPr>
        <w:rPr>
          <w:rFonts w:ascii="宋体" w:hAnsi="宋体"/>
        </w:rPr>
      </w:pPr>
    </w:p>
    <w:p w14:paraId="410E15B3">
      <w:pPr>
        <w:pStyle w:val="46"/>
        <w:spacing w:line="360" w:lineRule="auto"/>
        <w:rPr>
          <w:b w:val="0"/>
          <w:sz w:val="28"/>
          <w:szCs w:val="28"/>
        </w:rPr>
      </w:pPr>
      <w:r>
        <w:rPr>
          <w:b w:val="0"/>
          <w:sz w:val="28"/>
          <w:szCs w:val="28"/>
        </w:rPr>
        <w:fldChar w:fldCharType="begin"/>
      </w:r>
      <w:r>
        <w:rPr>
          <w:b w:val="0"/>
          <w:sz w:val="28"/>
          <w:szCs w:val="28"/>
        </w:rPr>
        <w:instrText xml:space="preserve"> TOC \o "1-1" \h \z \u </w:instrText>
      </w:r>
      <w:r>
        <w:rPr>
          <w:b w:val="0"/>
          <w:sz w:val="28"/>
          <w:szCs w:val="28"/>
        </w:rPr>
        <w:fldChar w:fldCharType="separate"/>
      </w:r>
      <w:r>
        <w:fldChar w:fldCharType="begin"/>
      </w:r>
      <w:r>
        <w:instrText xml:space="preserve"> HYPERLINK \l "_Toc97371941" </w:instrText>
      </w:r>
      <w:r>
        <w:fldChar w:fldCharType="separate"/>
      </w:r>
      <w:r>
        <w:rPr>
          <w:rStyle w:val="82"/>
          <w:color w:val="auto"/>
          <w:sz w:val="28"/>
          <w:szCs w:val="28"/>
        </w:rPr>
        <w:t>第一章   采购邀请</w:t>
      </w:r>
      <w:r>
        <w:rPr>
          <w:sz w:val="28"/>
          <w:szCs w:val="28"/>
        </w:rPr>
        <w:tab/>
      </w:r>
      <w:r>
        <w:rPr>
          <w:sz w:val="28"/>
          <w:szCs w:val="28"/>
        </w:rPr>
        <w:fldChar w:fldCharType="begin"/>
      </w:r>
      <w:r>
        <w:rPr>
          <w:sz w:val="28"/>
          <w:szCs w:val="28"/>
        </w:rPr>
        <w:instrText xml:space="preserve"> PAGEREF _Toc97371941 \h </w:instrText>
      </w:r>
      <w:r>
        <w:rPr>
          <w:sz w:val="28"/>
          <w:szCs w:val="28"/>
        </w:rPr>
        <w:fldChar w:fldCharType="separate"/>
      </w:r>
      <w:r>
        <w:rPr>
          <w:rFonts w:hint="eastAsia"/>
          <w:sz w:val="28"/>
          <w:szCs w:val="28"/>
        </w:rPr>
        <w:t>1</w:t>
      </w:r>
      <w:r>
        <w:rPr>
          <w:sz w:val="28"/>
          <w:szCs w:val="28"/>
        </w:rPr>
        <w:fldChar w:fldCharType="end"/>
      </w:r>
      <w:r>
        <w:rPr>
          <w:sz w:val="28"/>
          <w:szCs w:val="28"/>
        </w:rPr>
        <w:fldChar w:fldCharType="end"/>
      </w:r>
    </w:p>
    <w:p w14:paraId="54634313">
      <w:pPr>
        <w:pStyle w:val="46"/>
        <w:spacing w:line="360" w:lineRule="auto"/>
        <w:rPr>
          <w:b w:val="0"/>
          <w:sz w:val="28"/>
          <w:szCs w:val="28"/>
        </w:rPr>
      </w:pPr>
      <w:r>
        <w:fldChar w:fldCharType="begin"/>
      </w:r>
      <w:r>
        <w:instrText xml:space="preserve"> HYPERLINK \l "_Toc97371942" </w:instrText>
      </w:r>
      <w:r>
        <w:fldChar w:fldCharType="separate"/>
      </w:r>
      <w:r>
        <w:rPr>
          <w:rStyle w:val="82"/>
          <w:color w:val="auto"/>
          <w:sz w:val="28"/>
          <w:szCs w:val="28"/>
        </w:rPr>
        <w:t>第二章   供应商须知</w:t>
      </w:r>
      <w:r>
        <w:rPr>
          <w:sz w:val="28"/>
          <w:szCs w:val="28"/>
        </w:rPr>
        <w:tab/>
      </w:r>
      <w:r>
        <w:rPr>
          <w:rFonts w:hint="eastAsia"/>
          <w:sz w:val="28"/>
          <w:szCs w:val="28"/>
        </w:rPr>
        <w:t>6</w:t>
      </w:r>
      <w:r>
        <w:rPr>
          <w:rFonts w:hint="eastAsia"/>
          <w:sz w:val="28"/>
          <w:szCs w:val="28"/>
        </w:rPr>
        <w:fldChar w:fldCharType="end"/>
      </w:r>
    </w:p>
    <w:p w14:paraId="7F1121F1">
      <w:pPr>
        <w:pStyle w:val="46"/>
        <w:spacing w:line="360" w:lineRule="auto"/>
        <w:rPr>
          <w:b w:val="0"/>
          <w:sz w:val="28"/>
          <w:szCs w:val="28"/>
        </w:rPr>
      </w:pPr>
      <w:r>
        <w:fldChar w:fldCharType="begin"/>
      </w:r>
      <w:r>
        <w:instrText xml:space="preserve"> HYPERLINK \l "_Toc97371943" </w:instrText>
      </w:r>
      <w:r>
        <w:fldChar w:fldCharType="separate"/>
      </w:r>
      <w:r>
        <w:rPr>
          <w:rStyle w:val="82"/>
          <w:color w:val="auto"/>
          <w:sz w:val="28"/>
          <w:szCs w:val="28"/>
        </w:rPr>
        <w:t>第三章   评审方</w:t>
      </w:r>
      <w:bookmarkStart w:id="3" w:name="_Hlt112838919"/>
      <w:bookmarkStart w:id="4" w:name="_Hlt111469475"/>
      <w:r>
        <w:rPr>
          <w:rStyle w:val="82"/>
          <w:color w:val="auto"/>
          <w:sz w:val="28"/>
          <w:szCs w:val="28"/>
        </w:rPr>
        <w:t>法</w:t>
      </w:r>
      <w:bookmarkEnd w:id="3"/>
      <w:bookmarkEnd w:id="4"/>
      <w:r>
        <w:rPr>
          <w:rStyle w:val="82"/>
          <w:color w:val="auto"/>
          <w:sz w:val="28"/>
          <w:szCs w:val="28"/>
        </w:rPr>
        <w:t>和评审标准</w:t>
      </w:r>
      <w:r>
        <w:rPr>
          <w:sz w:val="28"/>
          <w:szCs w:val="28"/>
        </w:rPr>
        <w:tab/>
      </w:r>
      <w:r>
        <w:rPr>
          <w:rFonts w:hint="eastAsia"/>
          <w:sz w:val="28"/>
          <w:szCs w:val="28"/>
        </w:rPr>
        <w:t>2</w:t>
      </w:r>
      <w:r>
        <w:rPr>
          <w:rFonts w:hint="eastAsia"/>
          <w:sz w:val="28"/>
          <w:szCs w:val="28"/>
        </w:rPr>
        <w:fldChar w:fldCharType="end"/>
      </w:r>
      <w:r>
        <w:rPr>
          <w:rFonts w:hint="eastAsia"/>
          <w:sz w:val="28"/>
          <w:szCs w:val="28"/>
        </w:rPr>
        <w:t>4</w:t>
      </w:r>
    </w:p>
    <w:p w14:paraId="4F5005EC">
      <w:pPr>
        <w:pStyle w:val="46"/>
        <w:spacing w:line="360" w:lineRule="auto"/>
        <w:rPr>
          <w:b w:val="0"/>
          <w:sz w:val="28"/>
          <w:szCs w:val="28"/>
        </w:rPr>
      </w:pPr>
      <w:r>
        <w:fldChar w:fldCharType="begin"/>
      </w:r>
      <w:r>
        <w:instrText xml:space="preserve"> HYPERLINK \l "_Toc97371945" </w:instrText>
      </w:r>
      <w:r>
        <w:fldChar w:fldCharType="separate"/>
      </w:r>
      <w:r>
        <w:rPr>
          <w:rStyle w:val="82"/>
          <w:color w:val="auto"/>
          <w:sz w:val="28"/>
          <w:szCs w:val="28"/>
        </w:rPr>
        <w:t>第四章   采购</w:t>
      </w:r>
      <w:bookmarkStart w:id="5" w:name="_Hlt111468803"/>
      <w:bookmarkStart w:id="6" w:name="_Hlt111468804"/>
      <w:r>
        <w:rPr>
          <w:rStyle w:val="82"/>
          <w:color w:val="auto"/>
          <w:sz w:val="28"/>
          <w:szCs w:val="28"/>
        </w:rPr>
        <w:t>需</w:t>
      </w:r>
      <w:bookmarkEnd w:id="5"/>
      <w:bookmarkEnd w:id="6"/>
      <w:r>
        <w:rPr>
          <w:rStyle w:val="82"/>
          <w:color w:val="auto"/>
          <w:sz w:val="28"/>
          <w:szCs w:val="28"/>
        </w:rPr>
        <w:t>求</w:t>
      </w:r>
      <w:bookmarkStart w:id="7" w:name="_Hlt110270500"/>
      <w:bookmarkStart w:id="8" w:name="_Hlt110270501"/>
      <w:r>
        <w:rPr>
          <w:sz w:val="28"/>
          <w:szCs w:val="28"/>
        </w:rPr>
        <w:tab/>
      </w:r>
      <w:bookmarkEnd w:id="7"/>
      <w:bookmarkEnd w:id="8"/>
      <w:r>
        <w:rPr>
          <w:rFonts w:hint="eastAsia"/>
          <w:sz w:val="28"/>
          <w:szCs w:val="28"/>
        </w:rPr>
        <w:t>3</w:t>
      </w:r>
      <w:r>
        <w:rPr>
          <w:rFonts w:hint="eastAsia"/>
          <w:sz w:val="28"/>
          <w:szCs w:val="28"/>
        </w:rPr>
        <w:fldChar w:fldCharType="end"/>
      </w:r>
      <w:r>
        <w:rPr>
          <w:rFonts w:hint="eastAsia"/>
          <w:sz w:val="28"/>
          <w:szCs w:val="28"/>
        </w:rPr>
        <w:t>4</w:t>
      </w:r>
    </w:p>
    <w:p w14:paraId="4C0013D0">
      <w:pPr>
        <w:pStyle w:val="46"/>
        <w:spacing w:line="360" w:lineRule="auto"/>
        <w:rPr>
          <w:b w:val="0"/>
          <w:sz w:val="28"/>
          <w:szCs w:val="28"/>
        </w:rPr>
      </w:pPr>
      <w:r>
        <w:fldChar w:fldCharType="begin"/>
      </w:r>
      <w:r>
        <w:instrText xml:space="preserve"> HYPERLINK \l "_Toc97371946" </w:instrText>
      </w:r>
      <w:r>
        <w:fldChar w:fldCharType="separate"/>
      </w:r>
      <w:r>
        <w:rPr>
          <w:rStyle w:val="82"/>
          <w:color w:val="auto"/>
          <w:sz w:val="28"/>
          <w:szCs w:val="28"/>
        </w:rPr>
        <w:t>第五章   合同草案条款</w:t>
      </w:r>
      <w:r>
        <w:rPr>
          <w:sz w:val="28"/>
          <w:szCs w:val="28"/>
        </w:rPr>
        <w:tab/>
      </w:r>
      <w:r>
        <w:rPr>
          <w:rFonts w:hint="eastAsia"/>
          <w:sz w:val="28"/>
          <w:szCs w:val="28"/>
        </w:rPr>
        <w:t>..</w:t>
      </w:r>
      <w:r>
        <w:rPr>
          <w:rFonts w:hint="eastAsia"/>
          <w:sz w:val="28"/>
          <w:szCs w:val="28"/>
        </w:rPr>
        <w:fldChar w:fldCharType="end"/>
      </w:r>
      <w:r>
        <w:rPr>
          <w:rFonts w:hint="eastAsia"/>
          <w:sz w:val="28"/>
          <w:szCs w:val="28"/>
        </w:rPr>
        <w:t>.40</w:t>
      </w:r>
    </w:p>
    <w:p w14:paraId="3A04EDAD">
      <w:pPr>
        <w:pStyle w:val="46"/>
        <w:spacing w:line="360" w:lineRule="auto"/>
        <w:rPr>
          <w:b w:val="0"/>
          <w:sz w:val="28"/>
          <w:szCs w:val="28"/>
        </w:rPr>
      </w:pPr>
      <w:r>
        <w:fldChar w:fldCharType="begin"/>
      </w:r>
      <w:r>
        <w:instrText xml:space="preserve"> HYPERLINK \l "_Toc97371947" </w:instrText>
      </w:r>
      <w:r>
        <w:fldChar w:fldCharType="separate"/>
      </w:r>
      <w:r>
        <w:rPr>
          <w:rStyle w:val="82"/>
          <w:color w:val="auto"/>
          <w:sz w:val="28"/>
          <w:szCs w:val="28"/>
        </w:rPr>
        <w:t>第六章   响应文件</w:t>
      </w:r>
      <w:bookmarkStart w:id="9" w:name="_Hlt110415185"/>
      <w:bookmarkStart w:id="10" w:name="_Hlt110415184"/>
      <w:r>
        <w:rPr>
          <w:rStyle w:val="82"/>
          <w:color w:val="auto"/>
          <w:sz w:val="28"/>
          <w:szCs w:val="28"/>
        </w:rPr>
        <w:t>格</w:t>
      </w:r>
      <w:bookmarkEnd w:id="9"/>
      <w:bookmarkEnd w:id="10"/>
      <w:r>
        <w:rPr>
          <w:rStyle w:val="82"/>
          <w:color w:val="auto"/>
          <w:sz w:val="28"/>
          <w:szCs w:val="28"/>
        </w:rPr>
        <w:t>式</w:t>
      </w:r>
      <w:r>
        <w:rPr>
          <w:sz w:val="28"/>
          <w:szCs w:val="28"/>
        </w:rPr>
        <w:tab/>
      </w:r>
      <w:r>
        <w:rPr>
          <w:rFonts w:hint="eastAsia"/>
          <w:sz w:val="28"/>
          <w:szCs w:val="28"/>
        </w:rPr>
        <w:t>1</w:t>
      </w:r>
      <w:r>
        <w:rPr>
          <w:rFonts w:hint="eastAsia"/>
          <w:sz w:val="28"/>
          <w:szCs w:val="28"/>
        </w:rPr>
        <w:fldChar w:fldCharType="end"/>
      </w:r>
      <w:r>
        <w:rPr>
          <w:rFonts w:hint="eastAsia"/>
          <w:sz w:val="28"/>
          <w:szCs w:val="28"/>
        </w:rPr>
        <w:t>05</w:t>
      </w:r>
    </w:p>
    <w:p w14:paraId="6A1EDAE4">
      <w:pPr>
        <w:pStyle w:val="46"/>
        <w:spacing w:line="360" w:lineRule="auto"/>
        <w:rPr>
          <w:b w:val="0"/>
        </w:rPr>
      </w:pPr>
      <w:r>
        <w:rPr>
          <w:b w:val="0"/>
          <w:sz w:val="28"/>
          <w:szCs w:val="28"/>
        </w:rPr>
        <w:fldChar w:fldCharType="end"/>
      </w:r>
    </w:p>
    <w:p w14:paraId="3CC03CE3">
      <w:pPr>
        <w:pStyle w:val="46"/>
        <w:spacing w:line="360" w:lineRule="auto"/>
        <w:rPr>
          <w:b w:val="0"/>
          <w:sz w:val="36"/>
          <w:szCs w:val="36"/>
        </w:rPr>
      </w:pPr>
      <w:bookmarkStart w:id="11" w:name="_Toc97371941"/>
    </w:p>
    <w:p w14:paraId="35ECA50F">
      <w:pPr>
        <w:spacing w:line="360" w:lineRule="auto"/>
        <w:jc w:val="center"/>
        <w:outlineLvl w:val="0"/>
        <w:rPr>
          <w:rFonts w:ascii="宋体" w:hAnsi="宋体"/>
          <w:b/>
          <w:sz w:val="36"/>
          <w:szCs w:val="36"/>
        </w:rPr>
      </w:pPr>
    </w:p>
    <w:p w14:paraId="52850D0F">
      <w:pPr>
        <w:tabs>
          <w:tab w:val="left" w:pos="5865"/>
        </w:tabs>
        <w:rPr>
          <w:rFonts w:ascii="宋体" w:hAnsi="宋体"/>
          <w:sz w:val="36"/>
          <w:szCs w:val="36"/>
        </w:rPr>
      </w:pPr>
      <w:r>
        <w:rPr>
          <w:rFonts w:ascii="宋体" w:hAnsi="宋体"/>
          <w:sz w:val="36"/>
          <w:szCs w:val="36"/>
        </w:rPr>
        <w:tab/>
      </w:r>
    </w:p>
    <w:p w14:paraId="5552E5C5">
      <w:pPr>
        <w:rPr>
          <w:rFonts w:ascii="宋体" w:hAnsi="宋体"/>
          <w:sz w:val="36"/>
          <w:szCs w:val="36"/>
        </w:rPr>
      </w:pPr>
    </w:p>
    <w:p w14:paraId="684590EE">
      <w:pPr>
        <w:rPr>
          <w:rFonts w:ascii="宋体" w:hAnsi="宋体"/>
          <w:sz w:val="36"/>
          <w:szCs w:val="36"/>
        </w:rPr>
      </w:pPr>
    </w:p>
    <w:p w14:paraId="4FD5D68C">
      <w:pPr>
        <w:rPr>
          <w:rFonts w:ascii="宋体" w:hAnsi="宋体"/>
          <w:sz w:val="36"/>
          <w:szCs w:val="36"/>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0"/>
          <w:cols w:space="720" w:num="1"/>
          <w:titlePg/>
          <w:docGrid w:linePitch="462" w:charSpace="0"/>
        </w:sectPr>
      </w:pPr>
    </w:p>
    <w:p w14:paraId="59949BC3">
      <w:pPr>
        <w:spacing w:line="360" w:lineRule="auto"/>
        <w:jc w:val="center"/>
        <w:outlineLvl w:val="0"/>
        <w:rPr>
          <w:rFonts w:ascii="宋体" w:hAnsi="宋体"/>
          <w:b/>
          <w:sz w:val="36"/>
          <w:szCs w:val="36"/>
        </w:rPr>
      </w:pPr>
      <w:r>
        <w:rPr>
          <w:rFonts w:ascii="宋体" w:hAnsi="宋体"/>
          <w:b/>
          <w:sz w:val="36"/>
          <w:szCs w:val="36"/>
        </w:rPr>
        <w:t>第一章   采购邀请</w:t>
      </w:r>
      <w:bookmarkEnd w:id="11"/>
      <w:bookmarkStart w:id="12" w:name="_Toc28359002"/>
      <w:bookmarkStart w:id="13" w:name="_Hlk24379207"/>
      <w:bookmarkStart w:id="14" w:name="_Toc28359079"/>
      <w:bookmarkStart w:id="15" w:name="_Toc35393790"/>
      <w:bookmarkStart w:id="16" w:name="_Toc35393621"/>
    </w:p>
    <w:bookmarkEnd w:id="12"/>
    <w:bookmarkEnd w:id="13"/>
    <w:bookmarkEnd w:id="14"/>
    <w:bookmarkEnd w:id="15"/>
    <w:bookmarkEnd w:id="16"/>
    <w:p w14:paraId="35287F0D">
      <w:pPr>
        <w:pStyle w:val="4"/>
        <w:spacing w:before="0" w:line="360" w:lineRule="auto"/>
        <w:jc w:val="left"/>
        <w:rPr>
          <w:rFonts w:ascii="宋体" w:hAnsi="宋体" w:eastAsia="宋体"/>
          <w:sz w:val="24"/>
          <w:szCs w:val="24"/>
        </w:rPr>
      </w:pPr>
      <w:r>
        <w:rPr>
          <w:rFonts w:hint="eastAsia" w:ascii="宋体" w:hAnsi="宋体" w:eastAsia="宋体"/>
          <w:sz w:val="24"/>
          <w:szCs w:val="24"/>
        </w:rPr>
        <w:t>一、</w:t>
      </w:r>
      <w:bookmarkStart w:id="17" w:name="OLE_LINK3"/>
      <w:bookmarkStart w:id="18" w:name="OLE_LINK4"/>
      <w:r>
        <w:rPr>
          <w:rFonts w:hint="eastAsia" w:ascii="宋体" w:hAnsi="宋体" w:eastAsia="宋体"/>
          <w:sz w:val="24"/>
          <w:szCs w:val="24"/>
        </w:rPr>
        <w:t>项目基本情况</w:t>
      </w:r>
    </w:p>
    <w:p w14:paraId="6D9EEF2F">
      <w:pPr>
        <w:spacing w:line="360" w:lineRule="auto"/>
        <w:ind w:firstLine="480" w:firstLineChars="200"/>
        <w:rPr>
          <w:rFonts w:ascii="宋体" w:hAnsi="宋体"/>
          <w:sz w:val="24"/>
        </w:rPr>
      </w:pPr>
      <w:r>
        <w:rPr>
          <w:rFonts w:ascii="宋体" w:hAnsi="宋体"/>
          <w:sz w:val="24"/>
        </w:rPr>
        <w:t>1.</w:t>
      </w:r>
      <w:r>
        <w:rPr>
          <w:rFonts w:hint="eastAsia" w:ascii="宋体" w:hAnsi="宋体"/>
          <w:sz w:val="24"/>
        </w:rPr>
        <w:t>项目编号：</w:t>
      </w:r>
      <w:r>
        <w:rPr>
          <w:rFonts w:ascii="宋体" w:hAnsi="宋体"/>
          <w:sz w:val="24"/>
        </w:rPr>
        <w:t>RJS-20250606</w:t>
      </w:r>
    </w:p>
    <w:p w14:paraId="054AD9A3">
      <w:pPr>
        <w:spacing w:line="360" w:lineRule="auto"/>
        <w:ind w:firstLine="480" w:firstLineChars="200"/>
        <w:rPr>
          <w:rFonts w:ascii="宋体" w:hAnsi="宋体"/>
          <w:sz w:val="24"/>
        </w:rPr>
      </w:pPr>
      <w:r>
        <w:rPr>
          <w:rFonts w:ascii="宋体" w:hAnsi="宋体"/>
          <w:sz w:val="24"/>
        </w:rPr>
        <w:t>2.</w:t>
      </w:r>
      <w:r>
        <w:rPr>
          <w:rFonts w:hint="eastAsia" w:ascii="宋体" w:hAnsi="宋体"/>
          <w:sz w:val="24"/>
        </w:rPr>
        <w:t>项目名称：中国科学院软件研究所7号楼10层装修改造项目</w:t>
      </w:r>
    </w:p>
    <w:p w14:paraId="238BE38F">
      <w:pPr>
        <w:spacing w:line="360" w:lineRule="auto"/>
        <w:ind w:firstLine="480" w:firstLineChars="200"/>
        <w:rPr>
          <w:rFonts w:ascii="宋体" w:hAnsi="宋体"/>
          <w:sz w:val="24"/>
        </w:rPr>
      </w:pPr>
      <w:r>
        <w:rPr>
          <w:rFonts w:ascii="宋体" w:hAnsi="宋体"/>
          <w:sz w:val="24"/>
        </w:rPr>
        <w:t>3.</w:t>
      </w:r>
      <w:r>
        <w:rPr>
          <w:rFonts w:hint="eastAsia" w:ascii="宋体" w:hAnsi="宋体"/>
          <w:sz w:val="24"/>
        </w:rPr>
        <w:t>采购方式：竞争性磋商</w:t>
      </w:r>
    </w:p>
    <w:p w14:paraId="48A5B845">
      <w:pPr>
        <w:spacing w:line="360" w:lineRule="auto"/>
        <w:ind w:firstLine="480" w:firstLineChars="200"/>
        <w:rPr>
          <w:rFonts w:ascii="宋体" w:hAnsi="宋体"/>
          <w:sz w:val="24"/>
        </w:rPr>
      </w:pPr>
      <w:r>
        <w:rPr>
          <w:rFonts w:ascii="宋体" w:hAnsi="宋体"/>
          <w:sz w:val="24"/>
        </w:rPr>
        <w:t>4.</w:t>
      </w:r>
      <w:r>
        <w:rPr>
          <w:rFonts w:hint="eastAsia" w:ascii="宋体" w:hAnsi="宋体"/>
          <w:sz w:val="24"/>
        </w:rPr>
        <w:t>项目预算金额：</w:t>
      </w:r>
      <w:r>
        <w:rPr>
          <w:rFonts w:ascii="宋体" w:hAnsi="宋体"/>
          <w:b/>
          <w:sz w:val="24"/>
        </w:rPr>
        <w:t>84.770807</w:t>
      </w:r>
      <w:r>
        <w:rPr>
          <w:rFonts w:hint="eastAsia" w:ascii="宋体" w:hAnsi="宋体"/>
          <w:sz w:val="24"/>
        </w:rPr>
        <w:t>万元、项目最高限价：</w:t>
      </w:r>
      <w:r>
        <w:rPr>
          <w:rFonts w:ascii="宋体" w:hAnsi="宋体"/>
          <w:b/>
          <w:sz w:val="24"/>
        </w:rPr>
        <w:t>84.770807</w:t>
      </w:r>
      <w:r>
        <w:rPr>
          <w:rFonts w:hint="eastAsia" w:ascii="宋体" w:hAnsi="宋体"/>
          <w:sz w:val="24"/>
        </w:rPr>
        <w:t>万元。</w:t>
      </w:r>
    </w:p>
    <w:p w14:paraId="189B084F">
      <w:pPr>
        <w:spacing w:line="360" w:lineRule="auto"/>
        <w:ind w:firstLine="480" w:firstLineChars="200"/>
        <w:rPr>
          <w:rFonts w:ascii="宋体" w:hAnsi="宋体"/>
          <w:sz w:val="24"/>
        </w:rPr>
      </w:pPr>
      <w:r>
        <w:rPr>
          <w:rFonts w:ascii="宋体" w:hAnsi="宋体"/>
          <w:sz w:val="24"/>
        </w:rPr>
        <w:t>5.</w:t>
      </w:r>
      <w:r>
        <w:rPr>
          <w:rFonts w:hint="eastAsia" w:ascii="宋体" w:hAnsi="宋体"/>
          <w:sz w:val="24"/>
        </w:rPr>
        <w:t>采购需求：</w:t>
      </w:r>
      <w:bookmarkStart w:id="19" w:name="_Hlk136017155"/>
    </w:p>
    <w:tbl>
      <w:tblPr>
        <w:tblStyle w:val="68"/>
        <w:tblW w:w="8744"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91"/>
        <w:gridCol w:w="2219"/>
        <w:gridCol w:w="1559"/>
        <w:gridCol w:w="1134"/>
        <w:gridCol w:w="1276"/>
      </w:tblGrid>
      <w:tr w14:paraId="79EA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E9A7EFE">
            <w:pPr>
              <w:spacing w:line="360" w:lineRule="auto"/>
              <w:jc w:val="center"/>
              <w:rPr>
                <w:rFonts w:ascii="宋体" w:hAnsi="宋体"/>
                <w:sz w:val="24"/>
              </w:rPr>
            </w:pPr>
            <w:r>
              <w:rPr>
                <w:rFonts w:hint="eastAsia" w:ascii="宋体" w:hAnsi="宋体"/>
                <w:sz w:val="24"/>
              </w:rPr>
              <w:t>包号</w:t>
            </w:r>
          </w:p>
        </w:tc>
        <w:tc>
          <w:tcPr>
            <w:tcW w:w="1791" w:type="dxa"/>
            <w:vAlign w:val="center"/>
          </w:tcPr>
          <w:p w14:paraId="580683E7">
            <w:pPr>
              <w:spacing w:line="360" w:lineRule="auto"/>
              <w:jc w:val="center"/>
              <w:rPr>
                <w:rFonts w:ascii="宋体" w:hAnsi="宋体"/>
                <w:sz w:val="24"/>
              </w:rPr>
            </w:pPr>
            <w:r>
              <w:rPr>
                <w:rFonts w:hint="eastAsia" w:ascii="宋体" w:hAnsi="宋体"/>
                <w:sz w:val="24"/>
              </w:rPr>
              <w:t>标的名称</w:t>
            </w:r>
          </w:p>
        </w:tc>
        <w:tc>
          <w:tcPr>
            <w:tcW w:w="2219" w:type="dxa"/>
            <w:vAlign w:val="center"/>
          </w:tcPr>
          <w:p w14:paraId="0CFF2683">
            <w:pPr>
              <w:spacing w:line="360" w:lineRule="auto"/>
              <w:jc w:val="center"/>
              <w:rPr>
                <w:rFonts w:ascii="宋体" w:hAnsi="宋体"/>
                <w:sz w:val="24"/>
              </w:rPr>
            </w:pPr>
            <w:r>
              <w:rPr>
                <w:rFonts w:hint="eastAsia" w:ascii="宋体" w:hAnsi="宋体"/>
                <w:sz w:val="24"/>
              </w:rPr>
              <w:t>采购需求</w:t>
            </w:r>
          </w:p>
        </w:tc>
        <w:tc>
          <w:tcPr>
            <w:tcW w:w="1559" w:type="dxa"/>
            <w:vAlign w:val="center"/>
          </w:tcPr>
          <w:p w14:paraId="33753127">
            <w:pPr>
              <w:spacing w:line="360" w:lineRule="auto"/>
              <w:jc w:val="center"/>
              <w:rPr>
                <w:rFonts w:ascii="宋体" w:hAnsi="宋体"/>
                <w:sz w:val="24"/>
              </w:rPr>
            </w:pPr>
            <w:r>
              <w:rPr>
                <w:rFonts w:hint="eastAsia" w:ascii="宋体" w:hAnsi="宋体"/>
                <w:sz w:val="24"/>
              </w:rPr>
              <w:t>采购包预算金额（万元）</w:t>
            </w:r>
          </w:p>
        </w:tc>
        <w:tc>
          <w:tcPr>
            <w:tcW w:w="1134" w:type="dxa"/>
            <w:vAlign w:val="center"/>
          </w:tcPr>
          <w:p w14:paraId="52048F97">
            <w:pPr>
              <w:spacing w:line="360" w:lineRule="auto"/>
              <w:jc w:val="center"/>
              <w:rPr>
                <w:rFonts w:ascii="宋体" w:hAnsi="宋体"/>
                <w:sz w:val="24"/>
              </w:rPr>
            </w:pPr>
            <w:r>
              <w:rPr>
                <w:rFonts w:hint="eastAsia" w:ascii="宋体" w:hAnsi="宋体"/>
                <w:sz w:val="24"/>
              </w:rPr>
              <w:t>建设</w:t>
            </w:r>
          </w:p>
          <w:p w14:paraId="321565AB">
            <w:pPr>
              <w:spacing w:line="360" w:lineRule="auto"/>
              <w:jc w:val="center"/>
              <w:rPr>
                <w:rFonts w:ascii="宋体" w:hAnsi="宋体"/>
                <w:sz w:val="24"/>
              </w:rPr>
            </w:pPr>
            <w:r>
              <w:rPr>
                <w:rFonts w:hint="eastAsia" w:ascii="宋体" w:hAnsi="宋体"/>
                <w:sz w:val="24"/>
              </w:rPr>
              <w:t>规模</w:t>
            </w:r>
          </w:p>
        </w:tc>
        <w:tc>
          <w:tcPr>
            <w:tcW w:w="1276" w:type="dxa"/>
            <w:vAlign w:val="center"/>
          </w:tcPr>
          <w:p w14:paraId="02B7BC4E">
            <w:pPr>
              <w:spacing w:line="360" w:lineRule="auto"/>
              <w:jc w:val="center"/>
              <w:rPr>
                <w:rFonts w:ascii="宋体" w:hAnsi="宋体"/>
                <w:sz w:val="24"/>
              </w:rPr>
            </w:pPr>
            <w:r>
              <w:rPr>
                <w:rFonts w:hint="eastAsia" w:ascii="宋体" w:hAnsi="宋体"/>
                <w:sz w:val="24"/>
              </w:rPr>
              <w:t>建设地点</w:t>
            </w:r>
          </w:p>
        </w:tc>
      </w:tr>
      <w:tr w14:paraId="4EA8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4CFEFF3">
            <w:pPr>
              <w:spacing w:line="360" w:lineRule="auto"/>
              <w:rPr>
                <w:rFonts w:ascii="宋体" w:hAnsi="宋体"/>
                <w:sz w:val="24"/>
              </w:rPr>
            </w:pPr>
            <w:r>
              <w:rPr>
                <w:rFonts w:hint="eastAsia" w:ascii="宋体" w:hAnsi="宋体"/>
                <w:sz w:val="24"/>
              </w:rPr>
              <w:t>01</w:t>
            </w:r>
          </w:p>
        </w:tc>
        <w:tc>
          <w:tcPr>
            <w:tcW w:w="1791" w:type="dxa"/>
            <w:vAlign w:val="center"/>
          </w:tcPr>
          <w:p w14:paraId="58350A3A">
            <w:pPr>
              <w:spacing w:line="400" w:lineRule="exact"/>
              <w:jc w:val="center"/>
              <w:rPr>
                <w:rFonts w:ascii="宋体" w:hAnsi="宋体"/>
                <w:sz w:val="24"/>
              </w:rPr>
            </w:pPr>
            <w:r>
              <w:rPr>
                <w:rFonts w:hint="eastAsia" w:ascii="宋体" w:hAnsi="宋体"/>
                <w:sz w:val="24"/>
              </w:rPr>
              <w:t>中国科学院软件研究所7号楼10层装修改造项目</w:t>
            </w:r>
          </w:p>
        </w:tc>
        <w:tc>
          <w:tcPr>
            <w:tcW w:w="2219" w:type="dxa"/>
          </w:tcPr>
          <w:p w14:paraId="05D641D1">
            <w:pPr>
              <w:spacing w:line="400" w:lineRule="exact"/>
              <w:jc w:val="center"/>
              <w:rPr>
                <w:rFonts w:ascii="宋体" w:hAnsi="宋体"/>
                <w:sz w:val="24"/>
              </w:rPr>
            </w:pPr>
            <w:r>
              <w:rPr>
                <w:rFonts w:hint="eastAsia" w:ascii="宋体" w:hAnsi="宋体"/>
                <w:sz w:val="24"/>
              </w:rPr>
              <w:t>包括但不限图纸范围内的拆除工程、装饰装修工程、电气工程、弱电工程、暖通工程等施工图纸范围的全部工程。</w:t>
            </w:r>
          </w:p>
        </w:tc>
        <w:tc>
          <w:tcPr>
            <w:tcW w:w="1559" w:type="dxa"/>
            <w:vAlign w:val="center"/>
          </w:tcPr>
          <w:p w14:paraId="07A7B43D">
            <w:pPr>
              <w:spacing w:line="400" w:lineRule="exact"/>
              <w:jc w:val="center"/>
              <w:rPr>
                <w:rFonts w:ascii="宋体" w:hAnsi="宋体"/>
                <w:sz w:val="24"/>
              </w:rPr>
            </w:pPr>
            <w:r>
              <w:rPr>
                <w:rFonts w:ascii="宋体" w:hAnsi="宋体"/>
                <w:sz w:val="24"/>
              </w:rPr>
              <w:t>84.770807</w:t>
            </w:r>
          </w:p>
        </w:tc>
        <w:tc>
          <w:tcPr>
            <w:tcW w:w="1134" w:type="dxa"/>
            <w:vAlign w:val="center"/>
          </w:tcPr>
          <w:p w14:paraId="47BA3C4F">
            <w:pPr>
              <w:spacing w:line="400" w:lineRule="exact"/>
              <w:jc w:val="center"/>
              <w:rPr>
                <w:rFonts w:ascii="宋体" w:hAnsi="宋体"/>
                <w:sz w:val="24"/>
              </w:rPr>
            </w:pPr>
            <w:r>
              <w:rPr>
                <w:rFonts w:hint="eastAsia" w:ascii="宋体" w:hAnsi="宋体"/>
                <w:sz w:val="24"/>
              </w:rPr>
              <w:t>约</w:t>
            </w:r>
            <w:r>
              <w:rPr>
                <w:rFonts w:ascii="宋体" w:hAnsi="宋体"/>
                <w:sz w:val="24"/>
              </w:rPr>
              <w:t>825</w:t>
            </w:r>
            <w:r>
              <w:rPr>
                <w:rFonts w:hint="eastAsia" w:ascii="宋体" w:hAnsi="宋体"/>
                <w:sz w:val="24"/>
              </w:rPr>
              <w:t>平方米</w:t>
            </w:r>
          </w:p>
        </w:tc>
        <w:tc>
          <w:tcPr>
            <w:tcW w:w="1276" w:type="dxa"/>
            <w:vAlign w:val="center"/>
          </w:tcPr>
          <w:p w14:paraId="706BA5DC">
            <w:pPr>
              <w:spacing w:line="400" w:lineRule="exact"/>
              <w:jc w:val="center"/>
              <w:rPr>
                <w:rFonts w:ascii="宋体" w:hAnsi="宋体"/>
                <w:sz w:val="24"/>
              </w:rPr>
            </w:pPr>
            <w:r>
              <w:rPr>
                <w:rFonts w:hint="eastAsia" w:ascii="宋体" w:hAnsi="宋体"/>
                <w:sz w:val="24"/>
              </w:rPr>
              <w:t>北京市海淀区中国科学院软件研究所</w:t>
            </w:r>
          </w:p>
        </w:tc>
      </w:tr>
      <w:bookmarkEnd w:id="19"/>
    </w:tbl>
    <w:p w14:paraId="332B6FDF">
      <w:pPr>
        <w:numPr>
          <w:ilvl w:val="0"/>
          <w:numId w:val="12"/>
        </w:numPr>
        <w:spacing w:line="360" w:lineRule="auto"/>
        <w:ind w:firstLine="480" w:firstLineChars="200"/>
        <w:rPr>
          <w:rFonts w:ascii="宋体" w:hAnsi="宋体"/>
          <w:sz w:val="24"/>
        </w:rPr>
      </w:pPr>
      <w:r>
        <w:rPr>
          <w:rFonts w:hint="eastAsia" w:ascii="宋体" w:hAnsi="宋体"/>
          <w:sz w:val="24"/>
        </w:rPr>
        <w:t>合同履行期限：</w:t>
      </w:r>
      <w:r>
        <w:rPr>
          <w:rFonts w:ascii="宋体" w:hAnsi="宋体"/>
          <w:b/>
          <w:sz w:val="24"/>
        </w:rPr>
        <w:t>30日历天</w:t>
      </w:r>
      <w:r>
        <w:rPr>
          <w:rFonts w:hint="eastAsia" w:ascii="宋体" w:hAnsi="宋体"/>
          <w:sz w:val="24"/>
        </w:rPr>
        <w:t>。</w:t>
      </w:r>
    </w:p>
    <w:p w14:paraId="246F8F9C">
      <w:pPr>
        <w:numPr>
          <w:ilvl w:val="0"/>
          <w:numId w:val="12"/>
        </w:numPr>
        <w:spacing w:line="360" w:lineRule="auto"/>
        <w:ind w:firstLine="480" w:firstLineChars="200"/>
        <w:rPr>
          <w:rFonts w:ascii="宋体" w:hAnsi="宋体"/>
          <w:sz w:val="24"/>
        </w:rPr>
      </w:pPr>
      <w:r>
        <w:rPr>
          <w:rFonts w:hint="eastAsia" w:ascii="宋体" w:hAnsi="宋体"/>
          <w:sz w:val="24"/>
        </w:rPr>
        <w:t>本项目是否接受联合体：</w:t>
      </w:r>
      <w:r>
        <w:rPr>
          <w:rFonts w:ascii="宋体" w:hAnsi="宋体"/>
          <w:sz w:val="24"/>
        </w:rPr>
        <w:t>□</w:t>
      </w:r>
      <w:r>
        <w:rPr>
          <w:rFonts w:hint="eastAsia" w:ascii="宋体" w:hAnsi="宋体"/>
          <w:sz w:val="24"/>
        </w:rPr>
        <w:t>是    ■否。</w:t>
      </w:r>
    </w:p>
    <w:p w14:paraId="66E52617">
      <w:pPr>
        <w:pStyle w:val="4"/>
        <w:spacing w:before="0" w:line="360" w:lineRule="auto"/>
        <w:jc w:val="left"/>
        <w:rPr>
          <w:rFonts w:ascii="宋体" w:hAnsi="宋体" w:eastAsia="宋体"/>
          <w:sz w:val="24"/>
          <w:szCs w:val="24"/>
        </w:rPr>
      </w:pPr>
      <w:bookmarkStart w:id="20" w:name="_Toc35393791"/>
      <w:bookmarkStart w:id="21" w:name="_Toc28359003"/>
      <w:bookmarkStart w:id="22" w:name="_Toc35393622"/>
      <w:bookmarkStart w:id="23" w:name="_Toc28359080"/>
      <w:r>
        <w:rPr>
          <w:rFonts w:hint="eastAsia" w:ascii="宋体" w:hAnsi="宋体" w:eastAsia="宋体"/>
          <w:sz w:val="24"/>
          <w:szCs w:val="24"/>
        </w:rPr>
        <w:t>二、申请人的资格要求（须同时满足）</w:t>
      </w:r>
      <w:bookmarkEnd w:id="20"/>
      <w:bookmarkEnd w:id="21"/>
      <w:bookmarkEnd w:id="22"/>
      <w:bookmarkEnd w:id="23"/>
    </w:p>
    <w:p w14:paraId="7FF33910">
      <w:pPr>
        <w:spacing w:line="360" w:lineRule="auto"/>
        <w:ind w:firstLine="480" w:firstLineChars="200"/>
        <w:rPr>
          <w:rFonts w:ascii="宋体" w:hAnsi="宋体"/>
          <w:sz w:val="24"/>
        </w:rPr>
      </w:pPr>
      <w:r>
        <w:rPr>
          <w:rFonts w:ascii="宋体" w:hAnsi="宋体"/>
          <w:sz w:val="24"/>
        </w:rPr>
        <w:t>1.</w:t>
      </w:r>
      <w:r>
        <w:rPr>
          <w:rFonts w:hint="eastAsia" w:ascii="宋体" w:hAnsi="宋体"/>
          <w:sz w:val="24"/>
        </w:rPr>
        <w:t>满足《中华人民共和国政府采购法》第二十二条规定；</w:t>
      </w:r>
    </w:p>
    <w:p w14:paraId="30E10C8E">
      <w:pPr>
        <w:spacing w:line="360" w:lineRule="auto"/>
        <w:ind w:firstLine="480" w:firstLineChars="200"/>
        <w:rPr>
          <w:rFonts w:ascii="宋体" w:hAnsi="宋体"/>
          <w:sz w:val="24"/>
        </w:rPr>
      </w:pPr>
      <w:bookmarkStart w:id="24" w:name="_Toc28359081"/>
      <w:bookmarkStart w:id="25" w:name="_Toc28359004"/>
      <w:r>
        <w:rPr>
          <w:rFonts w:ascii="宋体" w:hAnsi="宋体"/>
          <w:sz w:val="24"/>
        </w:rPr>
        <w:t>2.</w:t>
      </w:r>
      <w:r>
        <w:rPr>
          <w:rFonts w:hint="eastAsia" w:ascii="宋体" w:hAnsi="宋体"/>
          <w:sz w:val="24"/>
        </w:rPr>
        <w:t>落实政府采购政策需满足的资格要求：</w:t>
      </w:r>
    </w:p>
    <w:p w14:paraId="58B83FB9">
      <w:pPr>
        <w:spacing w:line="360" w:lineRule="auto"/>
        <w:ind w:firstLine="480" w:firstLineChars="200"/>
        <w:rPr>
          <w:rFonts w:ascii="宋体" w:hAnsi="宋体"/>
          <w:sz w:val="24"/>
        </w:rPr>
      </w:pPr>
      <w:r>
        <w:rPr>
          <w:rFonts w:ascii="宋体" w:hAnsi="宋体"/>
          <w:sz w:val="24"/>
        </w:rPr>
        <w:t>3.</w:t>
      </w:r>
      <w:r>
        <w:rPr>
          <w:rFonts w:hint="eastAsia" w:ascii="宋体" w:hAnsi="宋体"/>
          <w:sz w:val="24"/>
        </w:rPr>
        <w:t>本项目的特定资格要求：</w:t>
      </w:r>
    </w:p>
    <w:p w14:paraId="2F71760C">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 xml:space="preserve">3.1本项目是否接受分支机构参与响应：□是   ■否； </w:t>
      </w:r>
    </w:p>
    <w:p w14:paraId="2ECA7C08">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3.2本项目是否属于政府购买服务：</w:t>
      </w:r>
    </w:p>
    <w:p w14:paraId="2905184C">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sz w:val="24"/>
        </w:rPr>
        <w:t>■否</w:t>
      </w:r>
    </w:p>
    <w:p w14:paraId="4381E9D6">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sz w:val="24"/>
        </w:rPr>
        <w:t>□是，公益一类事业单位、使用事业编制且由财政拨款保障的群团组织，不得作为承接主体；</w:t>
      </w:r>
    </w:p>
    <w:p w14:paraId="69F4827E">
      <w:pPr>
        <w:spacing w:line="360" w:lineRule="auto"/>
        <w:ind w:firstLine="480" w:firstLineChars="200"/>
        <w:rPr>
          <w:rFonts w:ascii="宋体" w:hAnsi="宋体"/>
          <w:sz w:val="24"/>
        </w:rPr>
      </w:pPr>
      <w:r>
        <w:rPr>
          <w:rFonts w:ascii="宋体" w:hAnsi="宋体"/>
          <w:sz w:val="24"/>
        </w:rPr>
        <w:t>3.3其他特定资格要求</w:t>
      </w:r>
      <w:r>
        <w:rPr>
          <w:rFonts w:hint="eastAsia" w:ascii="宋体" w:hAnsi="宋体"/>
          <w:sz w:val="24"/>
        </w:rPr>
        <w:t>：</w:t>
      </w:r>
    </w:p>
    <w:p w14:paraId="7F123BCE">
      <w:pPr>
        <w:pStyle w:val="272"/>
        <w:numPr>
          <w:ilvl w:val="0"/>
          <w:numId w:val="0"/>
        </w:numPr>
        <w:spacing w:line="360" w:lineRule="auto"/>
        <w:ind w:left="480" w:leftChars="0"/>
        <w:rPr>
          <w:rStyle w:val="465"/>
          <w:rFonts w:ascii="宋体" w:hAnsi="宋体" w:cs="宋体"/>
          <w:kern w:val="0"/>
          <w:sz w:val="24"/>
          <w:szCs w:val="24"/>
        </w:rPr>
      </w:pPr>
      <w:r>
        <w:rPr>
          <w:rStyle w:val="465"/>
          <w:rFonts w:hint="eastAsia" w:ascii="宋体" w:hAnsi="宋体" w:cs="宋体"/>
          <w:kern w:val="0"/>
          <w:sz w:val="24"/>
          <w:szCs w:val="24"/>
          <w:lang w:eastAsia="zh-CN"/>
        </w:rPr>
        <w:t>（</w:t>
      </w:r>
      <w:r>
        <w:rPr>
          <w:rStyle w:val="465"/>
          <w:rFonts w:hint="eastAsia" w:ascii="宋体" w:hAnsi="宋体" w:cs="宋体"/>
          <w:kern w:val="0"/>
          <w:sz w:val="24"/>
          <w:szCs w:val="24"/>
          <w:lang w:val="en-US" w:eastAsia="zh-CN"/>
        </w:rPr>
        <w:t>1</w:t>
      </w:r>
      <w:r>
        <w:rPr>
          <w:rStyle w:val="465"/>
          <w:rFonts w:hint="eastAsia" w:ascii="宋体" w:hAnsi="宋体" w:cs="宋体"/>
          <w:kern w:val="0"/>
          <w:sz w:val="24"/>
          <w:szCs w:val="24"/>
          <w:lang w:eastAsia="zh-CN"/>
        </w:rPr>
        <w:t>）</w:t>
      </w:r>
      <w:r>
        <w:rPr>
          <w:rStyle w:val="465"/>
          <w:rFonts w:hint="eastAsia" w:ascii="宋体" w:hAnsi="宋体" w:cs="宋体"/>
          <w:kern w:val="0"/>
          <w:sz w:val="24"/>
          <w:szCs w:val="24"/>
        </w:rPr>
        <w:t>具体要求</w:t>
      </w:r>
    </w:p>
    <w:p w14:paraId="798D486A">
      <w:pPr>
        <w:pStyle w:val="272"/>
        <w:numPr>
          <w:ilvl w:val="1"/>
          <w:numId w:val="13"/>
        </w:numPr>
        <w:spacing w:line="360" w:lineRule="auto"/>
        <w:ind w:firstLineChars="0"/>
        <w:rPr>
          <w:rStyle w:val="465"/>
          <w:rFonts w:ascii="宋体" w:hAnsi="宋体" w:cs="宋体"/>
          <w:kern w:val="0"/>
          <w:sz w:val="24"/>
          <w:szCs w:val="24"/>
        </w:rPr>
      </w:pPr>
      <w:r>
        <w:rPr>
          <w:rStyle w:val="465"/>
          <w:rFonts w:hint="eastAsia" w:ascii="宋体" w:hAnsi="宋体" w:cs="宋体"/>
          <w:kern w:val="0"/>
          <w:sz w:val="24"/>
          <w:szCs w:val="24"/>
        </w:rPr>
        <w:t>具有独立承担民事责任的能力；</w:t>
      </w:r>
    </w:p>
    <w:p w14:paraId="3C201101">
      <w:pPr>
        <w:pStyle w:val="272"/>
        <w:numPr>
          <w:ilvl w:val="1"/>
          <w:numId w:val="13"/>
        </w:numPr>
        <w:spacing w:line="360" w:lineRule="auto"/>
        <w:ind w:firstLineChars="0"/>
        <w:rPr>
          <w:rStyle w:val="465"/>
          <w:rFonts w:ascii="宋体" w:hAnsi="宋体" w:cs="宋体"/>
          <w:kern w:val="0"/>
          <w:sz w:val="24"/>
          <w:szCs w:val="24"/>
        </w:rPr>
      </w:pPr>
      <w:r>
        <w:rPr>
          <w:rStyle w:val="465"/>
          <w:rFonts w:hint="eastAsia" w:ascii="宋体" w:hAnsi="宋体" w:cs="宋体"/>
          <w:kern w:val="0"/>
          <w:sz w:val="24"/>
          <w:szCs w:val="24"/>
        </w:rPr>
        <w:t>具有良好的商业信誉和健全的财务会计制度；</w:t>
      </w:r>
    </w:p>
    <w:p w14:paraId="35392F00">
      <w:pPr>
        <w:pStyle w:val="272"/>
        <w:numPr>
          <w:ilvl w:val="1"/>
          <w:numId w:val="13"/>
        </w:numPr>
        <w:spacing w:line="360" w:lineRule="auto"/>
        <w:ind w:firstLineChars="0"/>
        <w:rPr>
          <w:rStyle w:val="465"/>
          <w:rFonts w:ascii="宋体" w:hAnsi="宋体" w:cs="宋体"/>
          <w:kern w:val="0"/>
          <w:sz w:val="24"/>
          <w:szCs w:val="24"/>
        </w:rPr>
      </w:pPr>
      <w:r>
        <w:rPr>
          <w:rStyle w:val="465"/>
          <w:rFonts w:hint="eastAsia" w:ascii="宋体" w:hAnsi="宋体" w:cs="宋体"/>
          <w:kern w:val="0"/>
          <w:sz w:val="24"/>
          <w:szCs w:val="24"/>
        </w:rPr>
        <w:t>具有履行合同所必需的设备和专业技术能力；</w:t>
      </w:r>
    </w:p>
    <w:p w14:paraId="6DCCF275">
      <w:pPr>
        <w:pStyle w:val="272"/>
        <w:numPr>
          <w:ilvl w:val="1"/>
          <w:numId w:val="13"/>
        </w:numPr>
        <w:spacing w:line="360" w:lineRule="auto"/>
        <w:ind w:firstLineChars="0"/>
        <w:rPr>
          <w:rStyle w:val="465"/>
          <w:rFonts w:ascii="宋体" w:hAnsi="宋体" w:cs="宋体"/>
          <w:kern w:val="0"/>
          <w:sz w:val="24"/>
          <w:szCs w:val="24"/>
        </w:rPr>
      </w:pPr>
      <w:r>
        <w:rPr>
          <w:rStyle w:val="465"/>
          <w:rFonts w:hint="eastAsia" w:ascii="宋体" w:hAnsi="宋体" w:cs="宋体"/>
          <w:kern w:val="0"/>
          <w:sz w:val="24"/>
          <w:szCs w:val="24"/>
        </w:rPr>
        <w:t>有依法缴纳税收和社会保障资金的良好记录；</w:t>
      </w:r>
    </w:p>
    <w:p w14:paraId="6A7E5C13">
      <w:pPr>
        <w:pStyle w:val="272"/>
        <w:spacing w:line="360" w:lineRule="auto"/>
        <w:ind w:left="920" w:firstLine="0" w:firstLineChars="0"/>
        <w:rPr>
          <w:rStyle w:val="465"/>
          <w:rFonts w:ascii="宋体" w:hAnsi="宋体" w:cs="宋体"/>
          <w:kern w:val="0"/>
          <w:sz w:val="24"/>
          <w:szCs w:val="24"/>
        </w:rPr>
      </w:pPr>
      <w:r>
        <w:rPr>
          <w:rStyle w:val="465"/>
          <w:rFonts w:hint="eastAsia" w:ascii="宋体" w:hAnsi="宋体" w:cs="宋体"/>
          <w:kern w:val="0"/>
          <w:sz w:val="24"/>
          <w:szCs w:val="24"/>
        </w:rPr>
        <w:t>⑤三年内参与的政府工程项目，在经营活动中没有重大违法记录；</w:t>
      </w:r>
    </w:p>
    <w:p w14:paraId="643F0E1D">
      <w:pPr>
        <w:pStyle w:val="272"/>
        <w:numPr>
          <w:ilvl w:val="0"/>
          <w:numId w:val="0"/>
        </w:numPr>
        <w:spacing w:line="360" w:lineRule="auto"/>
        <w:ind w:left="480" w:leftChars="0"/>
        <w:rPr>
          <w:rFonts w:ascii="宋体" w:hAnsi="宋体" w:cs="宋体"/>
          <w:sz w:val="24"/>
        </w:rPr>
      </w:pPr>
      <w:r>
        <w:rPr>
          <w:rStyle w:val="465"/>
          <w:rFonts w:hint="eastAsia" w:ascii="宋体" w:hAnsi="宋体" w:cs="宋体"/>
          <w:kern w:val="0"/>
          <w:sz w:val="24"/>
          <w:szCs w:val="24"/>
          <w:lang w:eastAsia="zh-CN"/>
        </w:rPr>
        <w:t>（</w:t>
      </w:r>
      <w:r>
        <w:rPr>
          <w:rStyle w:val="465"/>
          <w:rFonts w:hint="eastAsia" w:ascii="宋体" w:hAnsi="宋体" w:cs="宋体"/>
          <w:kern w:val="0"/>
          <w:sz w:val="24"/>
          <w:szCs w:val="24"/>
          <w:lang w:val="en-US" w:eastAsia="zh-CN"/>
        </w:rPr>
        <w:t>2</w:t>
      </w:r>
      <w:r>
        <w:rPr>
          <w:rStyle w:val="465"/>
          <w:rFonts w:hint="eastAsia" w:ascii="宋体" w:hAnsi="宋体" w:cs="宋体"/>
          <w:kern w:val="0"/>
          <w:sz w:val="24"/>
          <w:szCs w:val="24"/>
          <w:lang w:eastAsia="zh-CN"/>
        </w:rPr>
        <w:t>）</w:t>
      </w:r>
      <w:r>
        <w:rPr>
          <w:rStyle w:val="465"/>
          <w:rFonts w:hint="eastAsia" w:ascii="宋体" w:hAnsi="宋体" w:cs="宋体"/>
          <w:kern w:val="0"/>
          <w:sz w:val="24"/>
          <w:szCs w:val="24"/>
        </w:rPr>
        <w:t>法律、行政法规规定的其他条件。</w:t>
      </w:r>
      <w:r>
        <w:rPr>
          <w:rFonts w:hint="eastAsia" w:ascii="宋体" w:hAnsi="宋体" w:cs="宋体"/>
          <w:sz w:val="24"/>
        </w:rPr>
        <w:t>供应商需具备建筑工程施工总承包三级[新]及以上资质，并具备有效的《安全生产许可证》；若供应商为外地企业，须办理有效的进京备案许可；</w:t>
      </w:r>
    </w:p>
    <w:p w14:paraId="620D4F6A">
      <w:pPr>
        <w:pStyle w:val="272"/>
        <w:numPr>
          <w:ilvl w:val="0"/>
          <w:numId w:val="0"/>
        </w:numPr>
        <w:spacing w:line="360" w:lineRule="auto"/>
        <w:ind w:left="480" w:leftChars="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供应商拟派项目经理须具备建筑工程专业二级及以上注册建造师执业资格，具备有效的安全生产考核合格证书（B本）；若供应商为外地企业，项目经理须通过进京备案；</w:t>
      </w:r>
    </w:p>
    <w:p w14:paraId="33AC9064">
      <w:pPr>
        <w:pStyle w:val="272"/>
        <w:numPr>
          <w:ilvl w:val="0"/>
          <w:numId w:val="0"/>
        </w:numPr>
        <w:spacing w:line="360" w:lineRule="auto"/>
        <w:ind w:left="480" w:leftChars="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单位负责人为同一人或者存在直接控股、管理关系的不同供应商，不得同时参加本项目；</w:t>
      </w:r>
    </w:p>
    <w:p w14:paraId="7E2C21F8">
      <w:pPr>
        <w:pStyle w:val="272"/>
        <w:numPr>
          <w:ilvl w:val="0"/>
          <w:numId w:val="0"/>
        </w:numPr>
        <w:spacing w:line="360" w:lineRule="auto"/>
        <w:ind w:left="480" w:leftChars="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为采购项目提供整体设计、规范编制或者项目管理、监理、检测等服务的供应商，不得再参加该采购项目的其他采购活动；</w:t>
      </w:r>
    </w:p>
    <w:p w14:paraId="7E201888">
      <w:pPr>
        <w:pStyle w:val="272"/>
        <w:numPr>
          <w:ilvl w:val="0"/>
          <w:numId w:val="0"/>
        </w:numPr>
        <w:spacing w:line="360" w:lineRule="auto"/>
        <w:ind w:left="480" w:leftChars="0"/>
        <w:rPr>
          <w:rFonts w:ascii="宋体" w:hAnsi="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供应商不得被列入“信用中国”网站（www.creditchina.gov.cn) 失信被执行人和重大税收违法失信主体名单（原重大税收违法案件当事人名单）、未被中国政府采购网（www.ccgp.gov.cn）列入政府采购严重违法失信行为记录名单；（有上述处罚记录但处罚期已届满的，视为无记录）。</w:t>
      </w:r>
    </w:p>
    <w:bookmarkEnd w:id="24"/>
    <w:bookmarkEnd w:id="25"/>
    <w:p w14:paraId="305A19E9">
      <w:pPr>
        <w:pStyle w:val="4"/>
        <w:widowControl/>
        <w:spacing w:before="0" w:line="360" w:lineRule="auto"/>
        <w:jc w:val="left"/>
        <w:rPr>
          <w:rFonts w:ascii="宋体" w:hAnsi="宋体" w:eastAsia="宋体"/>
          <w:sz w:val="24"/>
          <w:szCs w:val="24"/>
        </w:rPr>
      </w:pPr>
      <w:bookmarkStart w:id="26" w:name="_Toc35393623"/>
      <w:bookmarkStart w:id="27" w:name="_Toc35393792"/>
      <w:r>
        <w:rPr>
          <w:rFonts w:hint="eastAsia" w:ascii="宋体" w:hAnsi="宋体" w:eastAsia="宋体"/>
          <w:sz w:val="24"/>
          <w:szCs w:val="24"/>
        </w:rPr>
        <w:t>三、踏勘</w:t>
      </w:r>
      <w:r>
        <w:rPr>
          <w:rFonts w:hint="eastAsia" w:ascii="宋体" w:hAnsi="宋体" w:eastAsia="宋体"/>
          <w:sz w:val="24"/>
          <w:szCs w:val="24"/>
          <w:lang w:eastAsia="zh-CN"/>
        </w:rPr>
        <w:t>、</w:t>
      </w:r>
      <w:bookmarkStart w:id="2518" w:name="_GoBack"/>
      <w:bookmarkEnd w:id="2518"/>
      <w:r>
        <w:rPr>
          <w:rFonts w:hint="eastAsia" w:ascii="宋体" w:hAnsi="宋体" w:eastAsia="宋体"/>
          <w:sz w:val="24"/>
          <w:szCs w:val="24"/>
        </w:rPr>
        <w:t>获取采购文件</w:t>
      </w:r>
      <w:bookmarkEnd w:id="26"/>
      <w:bookmarkEnd w:id="27"/>
    </w:p>
    <w:p w14:paraId="0BA0C6E8">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1</w:t>
      </w:r>
      <w:r>
        <w:rPr>
          <w:rFonts w:hint="eastAsia" w:ascii="宋体" w:hAnsi="宋体" w:cs="宋体"/>
          <w:sz w:val="24"/>
        </w:rPr>
        <w:t>.时间：</w:t>
      </w:r>
      <w:bookmarkStart w:id="28" w:name="_Hlk146543792"/>
      <w:r>
        <w:rPr>
          <w:rFonts w:hint="eastAsia" w:ascii="宋体" w:hAnsi="宋体" w:cs="宋体"/>
          <w:sz w:val="24"/>
        </w:rPr>
        <w:t>202</w:t>
      </w:r>
      <w:r>
        <w:rPr>
          <w:rFonts w:ascii="宋体" w:hAnsi="宋体" w:cs="宋体"/>
          <w:sz w:val="24"/>
        </w:rPr>
        <w:t>5</w:t>
      </w:r>
      <w:r>
        <w:rPr>
          <w:rFonts w:hint="eastAsia" w:ascii="宋体" w:hAnsi="宋体" w:cs="宋体"/>
          <w:sz w:val="24"/>
        </w:rPr>
        <w:t>年</w:t>
      </w:r>
      <w:r>
        <w:rPr>
          <w:rFonts w:ascii="宋体" w:hAnsi="宋体" w:cs="宋体"/>
          <w:sz w:val="24"/>
        </w:rPr>
        <w:t>06</w:t>
      </w:r>
      <w:r>
        <w:rPr>
          <w:rFonts w:hint="eastAsia" w:ascii="宋体" w:hAnsi="宋体" w:cs="宋体"/>
          <w:sz w:val="24"/>
        </w:rPr>
        <w:t>月</w:t>
      </w:r>
      <w:r>
        <w:rPr>
          <w:rFonts w:ascii="宋体" w:hAnsi="宋体" w:cs="宋体"/>
          <w:sz w:val="24"/>
        </w:rPr>
        <w:t>06</w:t>
      </w:r>
      <w:r>
        <w:rPr>
          <w:rFonts w:hint="eastAsia" w:ascii="宋体" w:hAnsi="宋体" w:cs="宋体"/>
          <w:sz w:val="24"/>
        </w:rPr>
        <w:t>日至202</w:t>
      </w:r>
      <w:r>
        <w:rPr>
          <w:rFonts w:ascii="宋体" w:hAnsi="宋体" w:cs="宋体"/>
          <w:sz w:val="24"/>
        </w:rPr>
        <w:t>5</w:t>
      </w:r>
      <w:r>
        <w:rPr>
          <w:rFonts w:hint="eastAsia" w:ascii="宋体" w:hAnsi="宋体" w:cs="宋体"/>
          <w:sz w:val="24"/>
        </w:rPr>
        <w:t>年</w:t>
      </w:r>
      <w:r>
        <w:rPr>
          <w:rFonts w:ascii="宋体" w:hAnsi="宋体" w:cs="宋体"/>
          <w:sz w:val="24"/>
        </w:rPr>
        <w:t>06</w:t>
      </w:r>
      <w:r>
        <w:rPr>
          <w:rFonts w:hint="eastAsia" w:ascii="宋体" w:hAnsi="宋体" w:cs="宋体"/>
          <w:sz w:val="24"/>
        </w:rPr>
        <w:t>月</w:t>
      </w:r>
      <w:r>
        <w:rPr>
          <w:rFonts w:ascii="宋体" w:hAnsi="宋体" w:cs="宋体"/>
          <w:sz w:val="24"/>
        </w:rPr>
        <w:t>13</w:t>
      </w:r>
      <w:r>
        <w:rPr>
          <w:rFonts w:hint="eastAsia" w:ascii="宋体" w:hAnsi="宋体" w:cs="宋体"/>
          <w:sz w:val="24"/>
        </w:rPr>
        <w:t>日</w:t>
      </w:r>
      <w:bookmarkEnd w:id="28"/>
      <w:r>
        <w:rPr>
          <w:rFonts w:hint="eastAsia" w:ascii="宋体" w:hAnsi="宋体" w:cs="宋体"/>
          <w:sz w:val="24"/>
        </w:rPr>
        <w:t>，</w:t>
      </w:r>
      <w:bookmarkStart w:id="29" w:name="_Hlk146543812"/>
      <w:r>
        <w:rPr>
          <w:rFonts w:hint="eastAsia" w:ascii="宋体" w:hAnsi="宋体" w:cs="宋体"/>
          <w:sz w:val="24"/>
        </w:rPr>
        <w:t>每</w:t>
      </w:r>
      <w:r>
        <w:rPr>
          <w:rFonts w:hint="eastAsia" w:ascii="宋体" w:hAnsi="宋体" w:cs="宋体"/>
          <w:sz w:val="24"/>
          <w:lang w:bidi="ar"/>
        </w:rPr>
        <w:t>天上午</w:t>
      </w:r>
      <w:r>
        <w:rPr>
          <w:rFonts w:hint="eastAsia" w:ascii="宋体" w:hAnsi="宋体" w:cs="宋体"/>
          <w:sz w:val="24"/>
        </w:rPr>
        <w:t>9：00分</w:t>
      </w:r>
      <w:r>
        <w:rPr>
          <w:rFonts w:hint="eastAsia" w:ascii="宋体" w:hAnsi="宋体" w:cs="宋体"/>
          <w:sz w:val="24"/>
          <w:lang w:bidi="ar"/>
        </w:rPr>
        <w:t>至</w:t>
      </w:r>
      <w:r>
        <w:rPr>
          <w:rFonts w:hint="eastAsia" w:ascii="宋体" w:hAnsi="宋体" w:cs="宋体"/>
          <w:sz w:val="24"/>
        </w:rPr>
        <w:t>12:00分</w:t>
      </w:r>
      <w:r>
        <w:rPr>
          <w:rFonts w:hint="eastAsia" w:ascii="宋体" w:hAnsi="宋体" w:cs="宋体"/>
          <w:sz w:val="24"/>
          <w:lang w:bidi="ar"/>
        </w:rPr>
        <w:t>，下午</w:t>
      </w:r>
      <w:r>
        <w:rPr>
          <w:rFonts w:hint="eastAsia" w:ascii="宋体" w:hAnsi="宋体" w:cs="宋体"/>
          <w:sz w:val="24"/>
        </w:rPr>
        <w:t>13：00分</w:t>
      </w:r>
      <w:r>
        <w:rPr>
          <w:rFonts w:hint="eastAsia" w:ascii="宋体" w:hAnsi="宋体" w:cs="宋体"/>
          <w:sz w:val="24"/>
          <w:lang w:bidi="ar"/>
        </w:rPr>
        <w:t>至</w:t>
      </w:r>
      <w:r>
        <w:rPr>
          <w:rFonts w:hint="eastAsia" w:ascii="宋体" w:hAnsi="宋体" w:cs="宋体"/>
          <w:sz w:val="24"/>
        </w:rPr>
        <w:t>17：00分</w:t>
      </w:r>
      <w:bookmarkEnd w:id="29"/>
      <w:r>
        <w:rPr>
          <w:rFonts w:hint="eastAsia" w:ascii="宋体" w:hAnsi="宋体" w:cs="宋体"/>
          <w:sz w:val="24"/>
          <w:lang w:bidi="ar"/>
        </w:rPr>
        <w:t>（北京时间，法定节假日除外）。</w:t>
      </w:r>
    </w:p>
    <w:p w14:paraId="31FB5BCB">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2.地点</w:t>
      </w:r>
      <w:r>
        <w:rPr>
          <w:rFonts w:hint="eastAsia" w:ascii="宋体" w:hAnsi="宋体" w:cs="宋体"/>
          <w:sz w:val="24"/>
        </w:rPr>
        <w:t>：北京市海淀区中关村南四街4号中国科学院软件研究所</w:t>
      </w:r>
      <w:r>
        <w:rPr>
          <w:rFonts w:ascii="宋体" w:hAnsi="宋体" w:cs="宋体"/>
          <w:sz w:val="24"/>
        </w:rPr>
        <w:t>7</w:t>
      </w:r>
      <w:r>
        <w:rPr>
          <w:rFonts w:hint="eastAsia" w:ascii="宋体" w:hAnsi="宋体" w:cs="宋体"/>
          <w:sz w:val="24"/>
        </w:rPr>
        <w:t>号楼4</w:t>
      </w:r>
      <w:r>
        <w:rPr>
          <w:rFonts w:ascii="宋体" w:hAnsi="宋体" w:cs="宋体"/>
          <w:sz w:val="24"/>
        </w:rPr>
        <w:t>01</w:t>
      </w:r>
      <w:r>
        <w:rPr>
          <w:rFonts w:hint="eastAsia" w:ascii="宋体" w:hAnsi="宋体" w:cs="宋体"/>
          <w:sz w:val="24"/>
        </w:rPr>
        <w:t>室</w:t>
      </w:r>
    </w:p>
    <w:p w14:paraId="12FD465A">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3.方式：</w:t>
      </w:r>
      <w:bookmarkStart w:id="30" w:name="_Hlk146543830"/>
      <w:r>
        <w:rPr>
          <w:rFonts w:hint="eastAsia" w:ascii="宋体" w:hAnsi="宋体" w:cs="宋体"/>
          <w:sz w:val="24"/>
          <w:lang w:bidi="ar"/>
        </w:rPr>
        <w:t>现场领取</w:t>
      </w:r>
      <w:bookmarkEnd w:id="30"/>
    </w:p>
    <w:p w14:paraId="1980A8BD">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bCs/>
          <w:sz w:val="24"/>
        </w:rPr>
        <w:t>3</w:t>
      </w:r>
      <w:r>
        <w:rPr>
          <w:rFonts w:ascii="宋体" w:hAnsi="宋体" w:cs="宋体"/>
          <w:bCs/>
          <w:sz w:val="24"/>
        </w:rPr>
        <w:t>.1</w:t>
      </w:r>
      <w:r>
        <w:rPr>
          <w:rFonts w:hint="eastAsia" w:ascii="宋体" w:hAnsi="宋体" w:cs="宋体"/>
          <w:bCs/>
          <w:sz w:val="24"/>
        </w:rPr>
        <w:t>购买文件时须提供以下资料：</w:t>
      </w:r>
      <w:r>
        <w:rPr>
          <w:rFonts w:ascii="宋体" w:hAnsi="宋体" w:cs="宋体"/>
          <w:bCs/>
          <w:sz w:val="24"/>
        </w:rPr>
        <w:t xml:space="preserve"> </w:t>
      </w:r>
    </w:p>
    <w:p w14:paraId="77D61D6B">
      <w:pPr>
        <w:spacing w:line="360" w:lineRule="auto"/>
        <w:ind w:firstLine="480" w:firstLineChars="200"/>
        <w:jc w:val="left"/>
        <w:rPr>
          <w:rFonts w:ascii="宋体" w:hAnsi="宋体" w:cs="宋体"/>
          <w:bCs/>
          <w:sz w:val="24"/>
        </w:rPr>
      </w:pPr>
      <w:r>
        <w:rPr>
          <w:rFonts w:hint="eastAsia" w:ascii="宋体" w:hAnsi="宋体" w:cs="宋体"/>
          <w:bCs/>
          <w:sz w:val="24"/>
        </w:rPr>
        <w:t>（1）法定代表人购买文件时，需提供法定代表人身份证明文件（原件加盖公章并注明项目名称及办理事项）及本人身份证（原件及复印件）（以上资料复印件应清晰完整并加盖单位公章）；</w:t>
      </w:r>
    </w:p>
    <w:p w14:paraId="6C338C00">
      <w:pPr>
        <w:spacing w:line="360" w:lineRule="auto"/>
        <w:ind w:firstLine="480" w:firstLineChars="200"/>
        <w:jc w:val="left"/>
        <w:rPr>
          <w:rFonts w:ascii="宋体" w:hAnsi="宋体" w:cs="宋体"/>
          <w:bCs/>
          <w:sz w:val="24"/>
        </w:rPr>
      </w:pPr>
      <w:r>
        <w:rPr>
          <w:rFonts w:hint="eastAsia" w:ascii="宋体" w:hAnsi="宋体" w:cs="宋体"/>
          <w:bCs/>
          <w:sz w:val="24"/>
        </w:rPr>
        <w:t>（2）被授权人购买文件时，需提供法定代表人授权委托书（原件加盖公章并注明项目名称及办理事项）及本人身份证（原件及复印件）及其任意一个月</w:t>
      </w:r>
      <w:r>
        <w:rPr>
          <w:rFonts w:ascii="宋体" w:hAnsi="宋体" w:cs="宋体"/>
          <w:bCs/>
          <w:sz w:val="24"/>
        </w:rPr>
        <w:t>（投标截止时间前半年内）</w:t>
      </w:r>
      <w:r>
        <w:rPr>
          <w:rFonts w:hint="eastAsia" w:ascii="宋体" w:hAnsi="宋体" w:cs="宋体"/>
          <w:bCs/>
          <w:sz w:val="24"/>
        </w:rPr>
        <w:t>在本单位的社保缴纳证明（以上资料复印件应清晰完整并加盖单位公章）。</w:t>
      </w:r>
    </w:p>
    <w:p w14:paraId="108EDF34">
      <w:pPr>
        <w:spacing w:line="360" w:lineRule="auto"/>
        <w:ind w:firstLine="480" w:firstLineChars="200"/>
        <w:jc w:val="left"/>
        <w:rPr>
          <w:rFonts w:ascii="宋体" w:hAnsi="宋体" w:cs="宋体"/>
          <w:bCs/>
          <w:sz w:val="24"/>
        </w:rPr>
      </w:pPr>
      <w:r>
        <w:rPr>
          <w:rFonts w:hint="eastAsia" w:ascii="宋体" w:hAnsi="宋体" w:cs="宋体"/>
          <w:bCs/>
          <w:sz w:val="24"/>
        </w:rPr>
        <w:t>备注：原件及复印件均需清晰可辨，经查验合格后，代理机构留存复印件及必要的原件备查。未进行竞争性磋商文件领取登记而复制文件投标的，其投标的响应文件将被拒绝。</w:t>
      </w:r>
    </w:p>
    <w:p w14:paraId="54158377">
      <w:pPr>
        <w:adjustRightInd w:val="0"/>
        <w:snapToGrid w:val="0"/>
        <w:spacing w:line="360" w:lineRule="auto"/>
        <w:ind w:firstLine="480" w:firstLineChars="200"/>
        <w:rPr>
          <w:rFonts w:ascii="宋体" w:hAnsi="宋体"/>
          <w:sz w:val="24"/>
        </w:rPr>
      </w:pPr>
      <w:r>
        <w:rPr>
          <w:rFonts w:hint="eastAsia" w:ascii="宋体" w:hAnsi="宋体" w:cs="宋体"/>
          <w:sz w:val="24"/>
          <w:lang w:bidi="ar"/>
        </w:rPr>
        <w:t>4.售价：</w:t>
      </w:r>
      <w:bookmarkStart w:id="31" w:name="_Hlk146543834"/>
      <w:r>
        <w:rPr>
          <w:rFonts w:hint="eastAsia" w:ascii="宋体" w:hAnsi="宋体" w:cs="宋体"/>
          <w:kern w:val="0"/>
          <w:sz w:val="24"/>
          <w:lang w:bidi="ar"/>
        </w:rPr>
        <w:t>人民币0元/套。</w:t>
      </w:r>
      <w:bookmarkEnd w:id="31"/>
    </w:p>
    <w:p w14:paraId="58614133">
      <w:pPr>
        <w:pStyle w:val="4"/>
        <w:widowControl/>
        <w:spacing w:before="0" w:line="360" w:lineRule="auto"/>
        <w:jc w:val="left"/>
        <w:rPr>
          <w:rFonts w:ascii="宋体" w:hAnsi="宋体" w:eastAsia="宋体"/>
          <w:sz w:val="24"/>
          <w:szCs w:val="24"/>
        </w:rPr>
      </w:pPr>
      <w:bookmarkStart w:id="32" w:name="_Toc28359082"/>
      <w:bookmarkStart w:id="33" w:name="_Toc28359005"/>
      <w:bookmarkStart w:id="34" w:name="_Toc35393624"/>
      <w:bookmarkStart w:id="35" w:name="_Toc35393793"/>
      <w:r>
        <w:rPr>
          <w:rFonts w:hint="eastAsia" w:ascii="宋体" w:hAnsi="宋体" w:eastAsia="宋体"/>
          <w:sz w:val="24"/>
          <w:szCs w:val="24"/>
        </w:rPr>
        <w:t>四、</w:t>
      </w:r>
      <w:bookmarkEnd w:id="32"/>
      <w:bookmarkEnd w:id="33"/>
      <w:bookmarkEnd w:id="34"/>
      <w:bookmarkEnd w:id="35"/>
      <w:r>
        <w:rPr>
          <w:rFonts w:hint="eastAsia" w:ascii="宋体" w:hAnsi="宋体" w:eastAsia="宋体"/>
          <w:sz w:val="24"/>
          <w:szCs w:val="24"/>
        </w:rPr>
        <w:t>响应文件提交</w:t>
      </w:r>
    </w:p>
    <w:p w14:paraId="260F1A9E">
      <w:pPr>
        <w:adjustRightInd w:val="0"/>
        <w:snapToGrid w:val="0"/>
        <w:spacing w:line="360" w:lineRule="auto"/>
        <w:ind w:firstLine="480" w:firstLineChars="200"/>
        <w:rPr>
          <w:rFonts w:ascii="宋体" w:hAnsi="宋体" w:cs="宋体"/>
          <w:sz w:val="24"/>
        </w:rPr>
      </w:pPr>
      <w:r>
        <w:rPr>
          <w:rFonts w:hint="eastAsia" w:ascii="宋体" w:hAnsi="宋体" w:cs="宋体"/>
          <w:sz w:val="24"/>
        </w:rPr>
        <w:t>截止时间：202</w:t>
      </w:r>
      <w:r>
        <w:rPr>
          <w:rFonts w:ascii="宋体" w:hAnsi="宋体" w:cs="宋体"/>
          <w:sz w:val="24"/>
        </w:rPr>
        <w:t>5</w:t>
      </w:r>
      <w:r>
        <w:rPr>
          <w:rFonts w:hint="eastAsia" w:ascii="宋体" w:hAnsi="宋体" w:cs="宋体"/>
          <w:sz w:val="24"/>
        </w:rPr>
        <w:t>年</w:t>
      </w:r>
      <w:r>
        <w:rPr>
          <w:rFonts w:ascii="宋体" w:hAnsi="宋体" w:cs="宋体"/>
          <w:sz w:val="24"/>
        </w:rPr>
        <w:t>06</w:t>
      </w:r>
      <w:r>
        <w:rPr>
          <w:rFonts w:hint="eastAsia" w:ascii="宋体" w:hAnsi="宋体" w:cs="宋体"/>
          <w:sz w:val="24"/>
        </w:rPr>
        <w:t>月</w:t>
      </w:r>
      <w:r>
        <w:rPr>
          <w:rFonts w:ascii="宋体" w:hAnsi="宋体" w:cs="宋体"/>
          <w:sz w:val="24"/>
        </w:rPr>
        <w:t>16</w:t>
      </w:r>
      <w:r>
        <w:rPr>
          <w:rFonts w:hint="eastAsia" w:ascii="宋体" w:hAnsi="宋体" w:cs="宋体"/>
          <w:sz w:val="24"/>
        </w:rPr>
        <w:t>日</w:t>
      </w:r>
      <w:r>
        <w:rPr>
          <w:rFonts w:ascii="宋体" w:hAnsi="宋体" w:cs="宋体"/>
          <w:sz w:val="24"/>
        </w:rPr>
        <w:t>9</w:t>
      </w:r>
      <w:r>
        <w:rPr>
          <w:rFonts w:hint="eastAsia" w:ascii="宋体" w:hAnsi="宋体" w:cs="宋体"/>
          <w:sz w:val="24"/>
        </w:rPr>
        <w:t>：00分（北京时间）。</w:t>
      </w:r>
    </w:p>
    <w:p w14:paraId="2C7CF81D">
      <w:pPr>
        <w:spacing w:line="360" w:lineRule="auto"/>
        <w:ind w:firstLine="480" w:firstLineChars="200"/>
        <w:rPr>
          <w:rFonts w:ascii="宋体" w:hAnsi="宋体" w:cs="宋体"/>
          <w:sz w:val="24"/>
          <w:lang w:val="zh-TW" w:bidi="ar"/>
        </w:rPr>
      </w:pPr>
      <w:r>
        <w:rPr>
          <w:rFonts w:hint="eastAsia" w:ascii="宋体" w:hAnsi="宋体" w:cs="宋体"/>
          <w:sz w:val="24"/>
          <w:lang w:bidi="ar"/>
        </w:rPr>
        <w:t>地点：</w:t>
      </w:r>
      <w:r>
        <w:rPr>
          <w:rFonts w:hint="eastAsia" w:ascii="宋体" w:hAnsi="宋体" w:cs="宋体"/>
          <w:sz w:val="24"/>
        </w:rPr>
        <w:t>北京市海淀区中关村南四街4号中国科学院软件研究所</w:t>
      </w:r>
      <w:r>
        <w:rPr>
          <w:rFonts w:ascii="宋体" w:hAnsi="宋体" w:cs="宋体"/>
          <w:sz w:val="24"/>
        </w:rPr>
        <w:t>5</w:t>
      </w:r>
      <w:r>
        <w:rPr>
          <w:rFonts w:hint="eastAsia" w:ascii="宋体" w:hAnsi="宋体" w:cs="宋体"/>
          <w:sz w:val="24"/>
        </w:rPr>
        <w:t>号楼4层第一会议室</w:t>
      </w:r>
      <w:r>
        <w:rPr>
          <w:rFonts w:hint="eastAsia" w:ascii="宋体" w:hAnsi="宋体" w:cs="宋体"/>
          <w:sz w:val="24"/>
          <w:lang w:bidi="ar"/>
        </w:rPr>
        <w:t>。</w:t>
      </w:r>
    </w:p>
    <w:p w14:paraId="51474CC5">
      <w:pPr>
        <w:pStyle w:val="4"/>
        <w:spacing w:before="0" w:line="360" w:lineRule="auto"/>
        <w:jc w:val="left"/>
        <w:rPr>
          <w:rFonts w:ascii="宋体" w:hAnsi="宋体" w:eastAsia="宋体"/>
          <w:sz w:val="24"/>
          <w:szCs w:val="24"/>
        </w:rPr>
      </w:pPr>
      <w:r>
        <w:rPr>
          <w:rFonts w:hint="eastAsia" w:ascii="宋体" w:hAnsi="宋体" w:eastAsia="宋体"/>
          <w:sz w:val="24"/>
          <w:szCs w:val="24"/>
        </w:rPr>
        <w:t>五、开启</w:t>
      </w:r>
    </w:p>
    <w:p w14:paraId="37591269">
      <w:pPr>
        <w:adjustRightInd w:val="0"/>
        <w:snapToGrid w:val="0"/>
        <w:spacing w:line="360" w:lineRule="auto"/>
        <w:ind w:firstLine="480" w:firstLineChars="200"/>
        <w:rPr>
          <w:rFonts w:ascii="宋体" w:hAnsi="宋体" w:cs="宋体"/>
          <w:sz w:val="24"/>
        </w:rPr>
      </w:pPr>
      <w:r>
        <w:rPr>
          <w:rFonts w:hint="eastAsia" w:ascii="宋体" w:hAnsi="宋体" w:cs="宋体"/>
          <w:sz w:val="24"/>
        </w:rPr>
        <w:t>截止时间：202</w:t>
      </w:r>
      <w:r>
        <w:rPr>
          <w:rFonts w:ascii="宋体" w:hAnsi="宋体" w:cs="宋体"/>
          <w:sz w:val="24"/>
        </w:rPr>
        <w:t>5</w:t>
      </w:r>
      <w:r>
        <w:rPr>
          <w:rFonts w:hint="eastAsia" w:ascii="宋体" w:hAnsi="宋体" w:cs="宋体"/>
          <w:sz w:val="24"/>
        </w:rPr>
        <w:t>年</w:t>
      </w:r>
      <w:r>
        <w:rPr>
          <w:rFonts w:ascii="宋体" w:hAnsi="宋体" w:cs="宋体"/>
          <w:sz w:val="24"/>
        </w:rPr>
        <w:t>06</w:t>
      </w:r>
      <w:r>
        <w:rPr>
          <w:rFonts w:hint="eastAsia" w:ascii="宋体" w:hAnsi="宋体" w:cs="宋体"/>
          <w:sz w:val="24"/>
        </w:rPr>
        <w:t>月</w:t>
      </w:r>
      <w:r>
        <w:rPr>
          <w:rFonts w:ascii="宋体" w:hAnsi="宋体" w:cs="宋体"/>
          <w:sz w:val="24"/>
        </w:rPr>
        <w:t>16</w:t>
      </w:r>
      <w:r>
        <w:rPr>
          <w:rFonts w:hint="eastAsia" w:ascii="宋体" w:hAnsi="宋体" w:cs="宋体"/>
          <w:sz w:val="24"/>
        </w:rPr>
        <w:t>日9：</w:t>
      </w:r>
      <w:r>
        <w:rPr>
          <w:rFonts w:ascii="宋体" w:hAnsi="宋体" w:cs="宋体"/>
          <w:sz w:val="24"/>
        </w:rPr>
        <w:t>30</w:t>
      </w:r>
      <w:r>
        <w:rPr>
          <w:rFonts w:hint="eastAsia" w:ascii="宋体" w:hAnsi="宋体" w:cs="宋体"/>
          <w:sz w:val="24"/>
        </w:rPr>
        <w:t>分（北京时间）。</w:t>
      </w:r>
    </w:p>
    <w:p w14:paraId="6F240EBF">
      <w:pPr>
        <w:spacing w:line="360" w:lineRule="auto"/>
        <w:ind w:firstLine="480" w:firstLineChars="200"/>
        <w:rPr>
          <w:rFonts w:ascii="宋体" w:hAnsi="宋体"/>
          <w:sz w:val="24"/>
          <w:lang w:val="zh-TW" w:eastAsia="zh-TW"/>
        </w:rPr>
      </w:pPr>
      <w:r>
        <w:rPr>
          <w:rFonts w:hint="eastAsia" w:ascii="宋体" w:hAnsi="宋体" w:cs="宋体"/>
          <w:sz w:val="24"/>
          <w:lang w:bidi="ar"/>
        </w:rPr>
        <w:t>地点：</w:t>
      </w:r>
      <w:r>
        <w:rPr>
          <w:rFonts w:hint="eastAsia" w:ascii="宋体" w:hAnsi="宋体" w:cs="宋体"/>
          <w:sz w:val="24"/>
        </w:rPr>
        <w:t>北京市海淀区中关村南四街4号中国科学院软件研究所</w:t>
      </w:r>
      <w:r>
        <w:rPr>
          <w:rFonts w:ascii="宋体" w:hAnsi="宋体" w:cs="宋体"/>
          <w:sz w:val="24"/>
        </w:rPr>
        <w:t>5</w:t>
      </w:r>
      <w:r>
        <w:rPr>
          <w:rFonts w:hint="eastAsia" w:ascii="宋体" w:hAnsi="宋体" w:cs="宋体"/>
          <w:sz w:val="24"/>
        </w:rPr>
        <w:t>号楼4层第一会议室</w:t>
      </w:r>
      <w:r>
        <w:rPr>
          <w:rFonts w:hint="eastAsia" w:ascii="宋体" w:hAnsi="宋体" w:cs="宋体"/>
          <w:sz w:val="24"/>
          <w:lang w:bidi="ar"/>
        </w:rPr>
        <w:t>。</w:t>
      </w:r>
    </w:p>
    <w:p w14:paraId="5556B5F6">
      <w:pPr>
        <w:pStyle w:val="4"/>
        <w:spacing w:before="0" w:line="360" w:lineRule="auto"/>
        <w:jc w:val="left"/>
        <w:rPr>
          <w:rFonts w:ascii="宋体" w:hAnsi="宋体" w:eastAsia="宋体"/>
          <w:sz w:val="24"/>
          <w:szCs w:val="24"/>
          <w:lang w:eastAsia="zh-TW"/>
        </w:rPr>
      </w:pPr>
      <w:bookmarkStart w:id="36" w:name="_Toc28359007"/>
      <w:bookmarkStart w:id="37" w:name="_Toc35393625"/>
      <w:bookmarkStart w:id="38" w:name="_Toc35393794"/>
      <w:bookmarkStart w:id="39" w:name="_Toc28359084"/>
      <w:r>
        <w:rPr>
          <w:rFonts w:hint="eastAsia" w:ascii="宋体" w:hAnsi="宋体" w:eastAsia="宋体"/>
          <w:sz w:val="24"/>
          <w:szCs w:val="24"/>
          <w:lang w:eastAsia="zh-TW"/>
        </w:rPr>
        <w:t>六、公告媒介及期限</w:t>
      </w:r>
      <w:bookmarkEnd w:id="36"/>
      <w:bookmarkEnd w:id="37"/>
      <w:bookmarkEnd w:id="38"/>
      <w:bookmarkEnd w:id="39"/>
    </w:p>
    <w:p w14:paraId="7A8F92E1">
      <w:pPr>
        <w:spacing w:line="360" w:lineRule="auto"/>
        <w:ind w:firstLine="480" w:firstLineChars="200"/>
        <w:rPr>
          <w:rFonts w:ascii="宋体" w:hAnsi="宋体"/>
          <w:kern w:val="0"/>
          <w:sz w:val="24"/>
          <w:lang w:eastAsia="zh-TW"/>
        </w:rPr>
      </w:pPr>
      <w:r>
        <w:rPr>
          <w:rFonts w:hint="eastAsia" w:ascii="宋体" w:hAnsi="宋体"/>
          <w:kern w:val="0"/>
          <w:sz w:val="24"/>
          <w:lang w:eastAsia="zh-TW"/>
        </w:rPr>
        <w:t>本公告在中国科学院软件研究所网页（http://www.iscas.ac.cn）发布，公告期限为2025年</w:t>
      </w:r>
      <w:r>
        <w:rPr>
          <w:rFonts w:ascii="宋体" w:hAnsi="宋体"/>
          <w:kern w:val="0"/>
          <w:sz w:val="24"/>
          <w:lang w:eastAsia="zh-TW"/>
        </w:rPr>
        <w:t>6</w:t>
      </w:r>
      <w:r>
        <w:rPr>
          <w:rFonts w:hint="eastAsia" w:ascii="宋体" w:hAnsi="宋体"/>
          <w:kern w:val="0"/>
          <w:sz w:val="24"/>
          <w:lang w:eastAsia="zh-TW"/>
        </w:rPr>
        <w:t>月</w:t>
      </w:r>
      <w:r>
        <w:rPr>
          <w:rFonts w:ascii="宋体" w:hAnsi="宋体"/>
          <w:kern w:val="0"/>
          <w:sz w:val="24"/>
          <w:lang w:eastAsia="zh-TW"/>
        </w:rPr>
        <w:t>6</w:t>
      </w:r>
      <w:r>
        <w:rPr>
          <w:rFonts w:hint="eastAsia" w:ascii="宋体" w:hAnsi="宋体"/>
          <w:kern w:val="0"/>
          <w:sz w:val="24"/>
          <w:lang w:eastAsia="zh-TW"/>
        </w:rPr>
        <w:t>日至2025年</w:t>
      </w:r>
      <w:r>
        <w:rPr>
          <w:rFonts w:ascii="宋体" w:hAnsi="宋体"/>
          <w:kern w:val="0"/>
          <w:sz w:val="24"/>
          <w:lang w:eastAsia="zh-TW"/>
        </w:rPr>
        <w:t>6</w:t>
      </w:r>
      <w:r>
        <w:rPr>
          <w:rFonts w:hint="eastAsia" w:ascii="宋体" w:hAnsi="宋体"/>
          <w:kern w:val="0"/>
          <w:sz w:val="24"/>
          <w:lang w:eastAsia="zh-TW"/>
        </w:rPr>
        <w:t>月</w:t>
      </w:r>
      <w:r>
        <w:rPr>
          <w:rFonts w:ascii="宋体" w:hAnsi="宋体"/>
          <w:kern w:val="0"/>
          <w:sz w:val="24"/>
          <w:lang w:eastAsia="zh-TW"/>
        </w:rPr>
        <w:t>13</w:t>
      </w:r>
      <w:r>
        <w:rPr>
          <w:rFonts w:hint="eastAsia" w:ascii="宋体" w:hAnsi="宋体"/>
          <w:kern w:val="0"/>
          <w:sz w:val="24"/>
          <w:lang w:eastAsia="zh-TW"/>
        </w:rPr>
        <w:t>日，共5个工作日。</w:t>
      </w:r>
    </w:p>
    <w:p w14:paraId="7102ACE2">
      <w:pPr>
        <w:pStyle w:val="4"/>
        <w:spacing w:before="0" w:line="360" w:lineRule="auto"/>
        <w:jc w:val="left"/>
        <w:rPr>
          <w:rFonts w:ascii="宋体" w:hAnsi="宋体" w:eastAsia="宋体"/>
          <w:sz w:val="24"/>
          <w:szCs w:val="24"/>
        </w:rPr>
      </w:pPr>
      <w:bookmarkStart w:id="40" w:name="_Toc35393626"/>
      <w:bookmarkStart w:id="41" w:name="_Toc35393795"/>
      <w:r>
        <w:rPr>
          <w:rFonts w:hint="eastAsia" w:ascii="宋体" w:hAnsi="宋体" w:eastAsia="宋体"/>
          <w:sz w:val="24"/>
          <w:szCs w:val="24"/>
        </w:rPr>
        <w:t>七、其他补充事宜</w:t>
      </w:r>
      <w:bookmarkEnd w:id="40"/>
      <w:bookmarkEnd w:id="41"/>
    </w:p>
    <w:p w14:paraId="6B7CC925">
      <w:pPr>
        <w:spacing w:line="360" w:lineRule="auto"/>
        <w:ind w:firstLine="424" w:firstLineChars="177"/>
        <w:rPr>
          <w:rFonts w:ascii="宋体" w:hAnsi="宋体"/>
          <w:sz w:val="24"/>
        </w:rPr>
      </w:pPr>
      <w:r>
        <w:rPr>
          <w:rFonts w:hint="eastAsia" w:ascii="宋体" w:hAnsi="宋体" w:cs="宋体"/>
          <w:sz w:val="24"/>
        </w:rPr>
        <w:t>1.无</w:t>
      </w:r>
    </w:p>
    <w:p w14:paraId="2D3D7453">
      <w:pPr>
        <w:pStyle w:val="4"/>
        <w:spacing w:before="0" w:line="360" w:lineRule="auto"/>
        <w:jc w:val="left"/>
        <w:rPr>
          <w:rFonts w:ascii="宋体" w:hAnsi="宋体" w:eastAsia="宋体"/>
          <w:sz w:val="24"/>
          <w:szCs w:val="24"/>
        </w:rPr>
      </w:pPr>
      <w:bookmarkStart w:id="42" w:name="_Toc28359008"/>
      <w:bookmarkStart w:id="43" w:name="_Toc28359085"/>
      <w:bookmarkStart w:id="44" w:name="_Toc35393627"/>
      <w:bookmarkStart w:id="45" w:name="_Toc35393796"/>
      <w:r>
        <w:rPr>
          <w:rFonts w:hint="eastAsia" w:ascii="宋体" w:hAnsi="宋体" w:eastAsia="宋体"/>
          <w:sz w:val="24"/>
          <w:szCs w:val="24"/>
        </w:rPr>
        <w:t>八、对本项目提出询问，请按以下方式联系</w:t>
      </w:r>
      <w:bookmarkEnd w:id="42"/>
      <w:bookmarkEnd w:id="43"/>
      <w:bookmarkEnd w:id="44"/>
      <w:bookmarkEnd w:id="45"/>
      <w:bookmarkStart w:id="46" w:name="_Toc44921573"/>
      <w:bookmarkStart w:id="47" w:name="_Toc44922356"/>
    </w:p>
    <w:bookmarkEnd w:id="46"/>
    <w:bookmarkEnd w:id="47"/>
    <w:p w14:paraId="29A44C93">
      <w:pPr>
        <w:widowControl/>
        <w:spacing w:line="360" w:lineRule="auto"/>
        <w:jc w:val="left"/>
        <w:rPr>
          <w:rFonts w:ascii="宋体" w:hAnsi="宋体" w:cs="宋体"/>
          <w:b w:val="0"/>
          <w:bCs/>
          <w:sz w:val="24"/>
        </w:rPr>
      </w:pPr>
      <w:r>
        <w:rPr>
          <w:rFonts w:hint="eastAsia" w:ascii="宋体" w:hAnsi="宋体" w:cs="宋体"/>
          <w:b w:val="0"/>
          <w:bCs/>
          <w:sz w:val="24"/>
        </w:rPr>
        <w:t>1.采购人信息</w:t>
      </w:r>
    </w:p>
    <w:p w14:paraId="1F1A74A0">
      <w:pPr>
        <w:spacing w:line="360" w:lineRule="auto"/>
        <w:ind w:firstLine="480" w:firstLineChars="200"/>
        <w:jc w:val="left"/>
        <w:rPr>
          <w:rFonts w:ascii="宋体" w:hAnsi="宋体" w:cs="宋体"/>
          <w:sz w:val="24"/>
        </w:rPr>
      </w:pPr>
      <w:bookmarkStart w:id="48" w:name="_Toc28359086"/>
      <w:bookmarkStart w:id="49" w:name="_Toc28359009"/>
      <w:r>
        <w:rPr>
          <w:rFonts w:hint="eastAsia" w:ascii="宋体" w:hAnsi="宋体" w:cs="宋体"/>
          <w:sz w:val="24"/>
        </w:rPr>
        <w:t>名    称：中国科学院软件研究所</w:t>
      </w:r>
    </w:p>
    <w:p w14:paraId="54F8F411">
      <w:pPr>
        <w:spacing w:line="360" w:lineRule="auto"/>
        <w:ind w:firstLine="480" w:firstLineChars="200"/>
        <w:rPr>
          <w:rFonts w:ascii="宋体" w:hAnsi="宋体" w:cs="宋体"/>
          <w:sz w:val="24"/>
        </w:rPr>
      </w:pPr>
      <w:r>
        <w:rPr>
          <w:rFonts w:hint="eastAsia" w:ascii="宋体" w:hAnsi="宋体" w:cs="宋体"/>
          <w:sz w:val="24"/>
        </w:rPr>
        <w:t>地    址：北京市海淀区中关村南四街</w:t>
      </w:r>
      <w:r>
        <w:rPr>
          <w:rFonts w:ascii="宋体" w:hAnsi="宋体" w:cs="宋体"/>
          <w:sz w:val="24"/>
        </w:rPr>
        <w:t>4</w:t>
      </w:r>
      <w:r>
        <w:rPr>
          <w:rFonts w:hint="eastAsia" w:ascii="宋体" w:hAnsi="宋体" w:cs="宋体"/>
          <w:sz w:val="24"/>
        </w:rPr>
        <w:t>号</w:t>
      </w:r>
    </w:p>
    <w:p w14:paraId="6DB81720">
      <w:pPr>
        <w:spacing w:line="360" w:lineRule="auto"/>
        <w:ind w:firstLine="480" w:firstLineChars="200"/>
        <w:rPr>
          <w:rFonts w:ascii="宋体" w:hAnsi="宋体" w:cs="宋体"/>
          <w:sz w:val="24"/>
        </w:rPr>
      </w:pPr>
      <w:r>
        <w:rPr>
          <w:rFonts w:hint="eastAsia" w:ascii="宋体" w:hAnsi="宋体" w:cs="宋体"/>
          <w:sz w:val="24"/>
        </w:rPr>
        <w:t>联系方式：李老师    010-6266</w:t>
      </w:r>
      <w:r>
        <w:rPr>
          <w:rFonts w:ascii="宋体" w:hAnsi="宋体" w:cs="宋体"/>
          <w:sz w:val="24"/>
        </w:rPr>
        <w:t>1045</w:t>
      </w:r>
    </w:p>
    <w:bookmarkEnd w:id="17"/>
    <w:bookmarkEnd w:id="18"/>
    <w:bookmarkEnd w:id="48"/>
    <w:bookmarkEnd w:id="49"/>
    <w:p w14:paraId="548857BC">
      <w:pPr>
        <w:spacing w:line="360" w:lineRule="auto"/>
        <w:ind w:right="960"/>
        <w:rPr>
          <w:rFonts w:ascii="宋体" w:hAnsi="宋体"/>
          <w:sz w:val="24"/>
        </w:rPr>
      </w:pPr>
    </w:p>
    <w:p w14:paraId="0D9A97C6">
      <w:pPr>
        <w:spacing w:line="360" w:lineRule="auto"/>
        <w:jc w:val="center"/>
        <w:outlineLvl w:val="0"/>
        <w:rPr>
          <w:rFonts w:ascii="宋体" w:hAnsi="宋体"/>
          <w:b/>
          <w:sz w:val="32"/>
          <w:szCs w:val="32"/>
        </w:rPr>
      </w:pPr>
      <w:r>
        <w:rPr>
          <w:rFonts w:ascii="宋体" w:hAnsi="宋体"/>
          <w:sz w:val="24"/>
        </w:rPr>
        <w:br w:type="page"/>
      </w:r>
      <w:bookmarkStart w:id="50" w:name="_Toc305158928"/>
      <w:bookmarkStart w:id="51" w:name="_Toc195842950"/>
      <w:bookmarkStart w:id="52" w:name="_Toc353873938"/>
      <w:bookmarkStart w:id="53" w:name="_Toc226965856"/>
      <w:bookmarkStart w:id="54" w:name="_Toc353825548"/>
      <w:bookmarkStart w:id="55" w:name="_Toc150774783"/>
      <w:bookmarkStart w:id="56" w:name="_Toc512937850"/>
      <w:bookmarkStart w:id="57" w:name="_Toc264969275"/>
      <w:bookmarkStart w:id="58" w:name="_Toc97371942"/>
      <w:bookmarkStart w:id="59" w:name="_Toc265228423"/>
      <w:bookmarkStart w:id="60" w:name="_Toc305158854"/>
      <w:bookmarkStart w:id="61" w:name="_Toc127151777"/>
      <w:bookmarkStart w:id="62" w:name="_Toc127161488"/>
      <w:r>
        <w:rPr>
          <w:rFonts w:ascii="宋体" w:hAnsi="宋体"/>
          <w:b/>
          <w:sz w:val="36"/>
          <w:szCs w:val="36"/>
        </w:rPr>
        <w:t>第二章   供应商须知</w:t>
      </w:r>
      <w:bookmarkEnd w:id="50"/>
      <w:bookmarkEnd w:id="51"/>
      <w:bookmarkEnd w:id="52"/>
      <w:bookmarkEnd w:id="53"/>
      <w:bookmarkEnd w:id="54"/>
      <w:bookmarkEnd w:id="55"/>
      <w:bookmarkEnd w:id="56"/>
      <w:bookmarkEnd w:id="57"/>
      <w:bookmarkEnd w:id="58"/>
      <w:bookmarkEnd w:id="59"/>
      <w:bookmarkEnd w:id="60"/>
      <w:bookmarkEnd w:id="61"/>
      <w:bookmarkEnd w:id="62"/>
    </w:p>
    <w:p w14:paraId="7EBD3D8D">
      <w:pPr>
        <w:pStyle w:val="4"/>
        <w:tabs>
          <w:tab w:val="center" w:pos="4592"/>
          <w:tab w:val="left" w:pos="7860"/>
        </w:tabs>
        <w:spacing w:before="0" w:line="360" w:lineRule="auto"/>
        <w:rPr>
          <w:rFonts w:ascii="宋体" w:hAnsi="宋体" w:eastAsia="宋体"/>
          <w:b w:val="0"/>
          <w:sz w:val="28"/>
        </w:rPr>
      </w:pPr>
      <w:bookmarkStart w:id="63" w:name="_Toc151190146"/>
      <w:bookmarkStart w:id="64" w:name="_Toc151193617"/>
      <w:bookmarkStart w:id="65" w:name="_Toc127161433"/>
      <w:bookmarkStart w:id="66" w:name="_Toc195842884"/>
      <w:bookmarkStart w:id="67" w:name="_Toc127151519"/>
      <w:bookmarkStart w:id="68" w:name="_Toc164229360"/>
      <w:bookmarkStart w:id="69" w:name="_Toc164608788"/>
      <w:bookmarkStart w:id="70" w:name="_Toc226309763"/>
      <w:bookmarkStart w:id="71" w:name="_Toc226337215"/>
      <w:bookmarkStart w:id="72" w:name="_Toc226965792"/>
      <w:bookmarkStart w:id="73" w:name="_Toc150480757"/>
      <w:bookmarkStart w:id="74" w:name="_Toc151193833"/>
      <w:bookmarkStart w:id="75" w:name="_Toc151193907"/>
      <w:bookmarkStart w:id="76" w:name="_Toc226965709"/>
      <w:bookmarkStart w:id="77" w:name="_Toc151193761"/>
      <w:bookmarkStart w:id="78" w:name="_Toc164229214"/>
      <w:bookmarkStart w:id="79" w:name="_Toc127151720"/>
      <w:bookmarkStart w:id="80" w:name="_Toc520356144"/>
      <w:bookmarkStart w:id="81" w:name="_Toc164608633"/>
      <w:bookmarkStart w:id="82" w:name="_Toc150774619"/>
      <w:bookmarkStart w:id="83" w:name="_Toc150774724"/>
      <w:bookmarkStart w:id="84" w:name="_Toc150509270"/>
      <w:bookmarkStart w:id="85" w:name="_Toc149720812"/>
      <w:bookmarkStart w:id="86" w:name="_Toc164351613"/>
      <w:bookmarkStart w:id="87" w:name="_Toc151193689"/>
      <w:bookmarkStart w:id="88" w:name="_Toc142311021"/>
      <w:r>
        <w:rPr>
          <w:rFonts w:ascii="宋体" w:hAnsi="宋体" w:eastAsia="宋体"/>
          <w:sz w:val="28"/>
        </w:rPr>
        <w:t>供应商须知资料表</w:t>
      </w:r>
    </w:p>
    <w:p w14:paraId="3CEF3406">
      <w:pPr>
        <w:jc w:val="center"/>
        <w:rPr>
          <w:rFonts w:ascii="宋体" w:hAnsi="宋体"/>
          <w:b/>
          <w:sz w:val="28"/>
          <w:szCs w:val="28"/>
        </w:rPr>
      </w:pPr>
    </w:p>
    <w:p w14:paraId="3FAB8FF0">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w:t>
      </w:r>
      <w:r>
        <w:rPr>
          <w:rFonts w:ascii="宋体" w:hAnsi="宋体"/>
        </w:rPr>
        <w:t>□</w:t>
      </w:r>
      <w:r>
        <w:rPr>
          <w:rFonts w:ascii="宋体" w:hAnsi="宋体"/>
          <w:sz w:val="24"/>
        </w:rPr>
        <w:t>”的选项意为不适用于本项目。</w:t>
      </w:r>
    </w:p>
    <w:tbl>
      <w:tblPr>
        <w:tblStyle w:val="6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3531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33BDC826">
            <w:pPr>
              <w:jc w:val="center"/>
              <w:rPr>
                <w:rFonts w:ascii="宋体" w:hAnsi="宋体"/>
                <w:b/>
                <w:bCs/>
                <w:sz w:val="24"/>
              </w:rPr>
            </w:pPr>
            <w:r>
              <w:rPr>
                <w:rFonts w:ascii="宋体" w:hAnsi="宋体"/>
                <w:b/>
                <w:sz w:val="24"/>
              </w:rPr>
              <w:t>条款号</w:t>
            </w:r>
          </w:p>
        </w:tc>
        <w:tc>
          <w:tcPr>
            <w:tcW w:w="1701" w:type="dxa"/>
            <w:vAlign w:val="center"/>
          </w:tcPr>
          <w:p w14:paraId="12B42B1B">
            <w:pPr>
              <w:jc w:val="center"/>
              <w:rPr>
                <w:rFonts w:ascii="宋体" w:hAnsi="宋体"/>
                <w:b/>
                <w:bCs/>
                <w:sz w:val="24"/>
              </w:rPr>
            </w:pPr>
            <w:r>
              <w:rPr>
                <w:rFonts w:ascii="宋体" w:hAnsi="宋体"/>
                <w:b/>
                <w:bCs/>
                <w:sz w:val="24"/>
              </w:rPr>
              <w:t>条目</w:t>
            </w:r>
          </w:p>
        </w:tc>
        <w:tc>
          <w:tcPr>
            <w:tcW w:w="7253" w:type="dxa"/>
            <w:vAlign w:val="center"/>
          </w:tcPr>
          <w:p w14:paraId="24E6615C">
            <w:pPr>
              <w:jc w:val="center"/>
              <w:rPr>
                <w:rFonts w:ascii="宋体" w:hAnsi="宋体"/>
                <w:b/>
                <w:bCs/>
                <w:sz w:val="24"/>
              </w:rPr>
            </w:pPr>
            <w:r>
              <w:rPr>
                <w:rFonts w:ascii="宋体" w:hAnsi="宋体"/>
                <w:b/>
                <w:bCs/>
                <w:sz w:val="24"/>
              </w:rPr>
              <w:t>内容</w:t>
            </w:r>
          </w:p>
        </w:tc>
      </w:tr>
      <w:tr w14:paraId="07C1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10E6EB5">
            <w:pPr>
              <w:pStyle w:val="36"/>
              <w:adjustRightInd w:val="0"/>
              <w:snapToGrid w:val="0"/>
              <w:jc w:val="center"/>
              <w:rPr>
                <w:rFonts w:hint="default" w:hAnsi="宋体"/>
                <w:sz w:val="24"/>
                <w:szCs w:val="24"/>
              </w:rPr>
            </w:pPr>
            <w:r>
              <w:rPr>
                <w:rFonts w:hint="default" w:hAnsi="宋体"/>
                <w:sz w:val="24"/>
                <w:szCs w:val="24"/>
              </w:rPr>
              <w:t>2.2</w:t>
            </w:r>
          </w:p>
        </w:tc>
        <w:tc>
          <w:tcPr>
            <w:tcW w:w="1701" w:type="dxa"/>
            <w:vAlign w:val="center"/>
          </w:tcPr>
          <w:p w14:paraId="31B9F357">
            <w:pPr>
              <w:spacing w:line="276" w:lineRule="auto"/>
              <w:jc w:val="center"/>
              <w:rPr>
                <w:rFonts w:ascii="宋体" w:hAnsi="宋体"/>
                <w:sz w:val="24"/>
              </w:rPr>
            </w:pPr>
            <w:r>
              <w:rPr>
                <w:rFonts w:ascii="宋体" w:hAnsi="宋体"/>
                <w:sz w:val="24"/>
              </w:rPr>
              <w:t>项目属性</w:t>
            </w:r>
          </w:p>
        </w:tc>
        <w:tc>
          <w:tcPr>
            <w:tcW w:w="7253" w:type="dxa"/>
            <w:vAlign w:val="center"/>
          </w:tcPr>
          <w:p w14:paraId="45B9256D">
            <w:pPr>
              <w:spacing w:line="276" w:lineRule="auto"/>
              <w:jc w:val="left"/>
              <w:rPr>
                <w:rFonts w:ascii="宋体" w:hAnsi="宋体"/>
                <w:sz w:val="24"/>
              </w:rPr>
            </w:pPr>
            <w:r>
              <w:rPr>
                <w:rFonts w:ascii="宋体" w:hAnsi="宋体"/>
                <w:sz w:val="24"/>
              </w:rPr>
              <w:t>项目属性：</w:t>
            </w:r>
          </w:p>
          <w:p w14:paraId="6ADD91C0">
            <w:pPr>
              <w:spacing w:line="276" w:lineRule="auto"/>
              <w:jc w:val="left"/>
              <w:rPr>
                <w:rFonts w:ascii="宋体" w:hAnsi="宋体"/>
                <w:sz w:val="24"/>
              </w:rPr>
            </w:pPr>
            <w:r>
              <w:rPr>
                <w:rFonts w:ascii="宋体" w:hAnsi="宋体"/>
              </w:rPr>
              <w:t>□</w:t>
            </w:r>
            <w:r>
              <w:rPr>
                <w:rFonts w:ascii="宋体" w:hAnsi="宋体"/>
                <w:sz w:val="24"/>
              </w:rPr>
              <w:t>服务</w:t>
            </w:r>
          </w:p>
          <w:p w14:paraId="512D53B5">
            <w:pPr>
              <w:spacing w:line="276" w:lineRule="auto"/>
              <w:jc w:val="left"/>
              <w:rPr>
                <w:rFonts w:ascii="宋体" w:hAnsi="宋体"/>
                <w:sz w:val="24"/>
              </w:rPr>
            </w:pPr>
            <w:r>
              <w:rPr>
                <w:rFonts w:ascii="宋体" w:hAnsi="宋体"/>
              </w:rPr>
              <w:t>□</w:t>
            </w:r>
            <w:r>
              <w:rPr>
                <w:rFonts w:ascii="宋体" w:hAnsi="宋体"/>
                <w:sz w:val="24"/>
              </w:rPr>
              <w:t>货物</w:t>
            </w:r>
          </w:p>
          <w:p w14:paraId="52F12264">
            <w:pPr>
              <w:spacing w:line="276" w:lineRule="auto"/>
              <w:jc w:val="left"/>
              <w:rPr>
                <w:rFonts w:ascii="宋体" w:hAnsi="宋体"/>
                <w:sz w:val="24"/>
                <w:u w:val="single"/>
              </w:rPr>
            </w:pPr>
            <w:r>
              <w:rPr>
                <w:rFonts w:ascii="宋体" w:hAnsi="宋体"/>
                <w:b/>
                <w:sz w:val="24"/>
              </w:rPr>
              <w:t>■</w:t>
            </w:r>
            <w:r>
              <w:rPr>
                <w:rFonts w:hint="eastAsia" w:ascii="宋体" w:hAnsi="宋体"/>
                <w:sz w:val="24"/>
              </w:rPr>
              <w:t>工程</w:t>
            </w:r>
          </w:p>
        </w:tc>
      </w:tr>
      <w:tr w14:paraId="3E3E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A394999">
            <w:pPr>
              <w:pStyle w:val="36"/>
              <w:adjustRightInd w:val="0"/>
              <w:snapToGrid w:val="0"/>
              <w:jc w:val="center"/>
              <w:rPr>
                <w:rFonts w:hint="default" w:hAnsi="宋体"/>
                <w:sz w:val="24"/>
                <w:szCs w:val="24"/>
              </w:rPr>
            </w:pPr>
            <w:r>
              <w:rPr>
                <w:rFonts w:hint="default" w:hAnsi="宋体"/>
                <w:sz w:val="24"/>
                <w:szCs w:val="24"/>
              </w:rPr>
              <w:t>2.3</w:t>
            </w:r>
          </w:p>
        </w:tc>
        <w:tc>
          <w:tcPr>
            <w:tcW w:w="1701" w:type="dxa"/>
            <w:vAlign w:val="center"/>
          </w:tcPr>
          <w:p w14:paraId="22C92370">
            <w:pPr>
              <w:spacing w:line="276" w:lineRule="auto"/>
              <w:jc w:val="center"/>
              <w:rPr>
                <w:rFonts w:ascii="宋体" w:hAnsi="宋体"/>
                <w:sz w:val="24"/>
              </w:rPr>
            </w:pPr>
            <w:r>
              <w:rPr>
                <w:rFonts w:ascii="宋体" w:hAnsi="宋体"/>
                <w:sz w:val="24"/>
              </w:rPr>
              <w:t>科研仪器设备</w:t>
            </w:r>
          </w:p>
        </w:tc>
        <w:tc>
          <w:tcPr>
            <w:tcW w:w="7253" w:type="dxa"/>
            <w:vAlign w:val="center"/>
          </w:tcPr>
          <w:p w14:paraId="196143A6">
            <w:pPr>
              <w:spacing w:line="276" w:lineRule="auto"/>
              <w:jc w:val="left"/>
              <w:rPr>
                <w:rFonts w:ascii="宋体" w:hAnsi="宋体"/>
                <w:sz w:val="24"/>
              </w:rPr>
            </w:pPr>
            <w:r>
              <w:rPr>
                <w:rFonts w:ascii="宋体" w:hAnsi="宋体"/>
                <w:sz w:val="24"/>
              </w:rPr>
              <w:t>是否属于科研仪器设备采购项目：</w:t>
            </w:r>
          </w:p>
          <w:p w14:paraId="436D077A">
            <w:pPr>
              <w:spacing w:line="276" w:lineRule="auto"/>
              <w:jc w:val="left"/>
              <w:rPr>
                <w:rFonts w:ascii="宋体" w:hAnsi="宋体"/>
                <w:sz w:val="24"/>
              </w:rPr>
            </w:pPr>
            <w:r>
              <w:rPr>
                <w:rFonts w:ascii="宋体" w:hAnsi="宋体"/>
              </w:rPr>
              <w:t>□</w:t>
            </w:r>
            <w:r>
              <w:rPr>
                <w:rFonts w:ascii="宋体" w:hAnsi="宋体"/>
                <w:sz w:val="24"/>
              </w:rPr>
              <w:t>是</w:t>
            </w:r>
          </w:p>
          <w:p w14:paraId="48C4BACC">
            <w:pPr>
              <w:spacing w:line="276" w:lineRule="auto"/>
              <w:jc w:val="left"/>
              <w:rPr>
                <w:rFonts w:ascii="宋体" w:hAnsi="宋体"/>
                <w:sz w:val="24"/>
              </w:rPr>
            </w:pPr>
            <w:r>
              <w:rPr>
                <w:rFonts w:ascii="宋体" w:hAnsi="宋体"/>
                <w:b/>
                <w:sz w:val="24"/>
              </w:rPr>
              <w:t>■</w:t>
            </w:r>
            <w:r>
              <w:rPr>
                <w:rFonts w:ascii="宋体" w:hAnsi="宋体"/>
                <w:sz w:val="24"/>
              </w:rPr>
              <w:t>否</w:t>
            </w:r>
          </w:p>
        </w:tc>
      </w:tr>
      <w:tr w14:paraId="0626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10BE0F2B">
            <w:pPr>
              <w:pStyle w:val="36"/>
              <w:adjustRightInd w:val="0"/>
              <w:snapToGrid w:val="0"/>
              <w:jc w:val="center"/>
              <w:rPr>
                <w:rFonts w:hint="default" w:hAnsi="宋体"/>
                <w:sz w:val="24"/>
                <w:szCs w:val="24"/>
              </w:rPr>
            </w:pPr>
            <w:r>
              <w:rPr>
                <w:rFonts w:hint="default" w:hAnsi="宋体"/>
                <w:sz w:val="24"/>
                <w:szCs w:val="24"/>
              </w:rPr>
              <w:t>3.1</w:t>
            </w:r>
          </w:p>
        </w:tc>
        <w:tc>
          <w:tcPr>
            <w:tcW w:w="1701" w:type="dxa"/>
            <w:vAlign w:val="center"/>
          </w:tcPr>
          <w:p w14:paraId="6658AA4D">
            <w:pPr>
              <w:spacing w:line="276" w:lineRule="auto"/>
              <w:jc w:val="center"/>
              <w:rPr>
                <w:rFonts w:ascii="宋体" w:hAnsi="宋体"/>
                <w:sz w:val="24"/>
              </w:rPr>
            </w:pPr>
            <w:r>
              <w:rPr>
                <w:rFonts w:ascii="宋体" w:hAnsi="宋体"/>
                <w:sz w:val="24"/>
              </w:rPr>
              <w:t>现场考察</w:t>
            </w:r>
          </w:p>
        </w:tc>
        <w:tc>
          <w:tcPr>
            <w:tcW w:w="7253" w:type="dxa"/>
            <w:vAlign w:val="center"/>
          </w:tcPr>
          <w:p w14:paraId="728A4953">
            <w:pPr>
              <w:spacing w:line="276" w:lineRule="auto"/>
              <w:jc w:val="left"/>
              <w:rPr>
                <w:rFonts w:ascii="宋体" w:hAnsi="宋体"/>
                <w:sz w:val="24"/>
              </w:rPr>
            </w:pPr>
            <w:r>
              <w:rPr>
                <w:rFonts w:ascii="宋体" w:hAnsi="宋体"/>
                <w:b/>
                <w:sz w:val="24"/>
              </w:rPr>
              <w:t>■</w:t>
            </w:r>
            <w:r>
              <w:rPr>
                <w:rFonts w:ascii="宋体" w:hAnsi="宋体"/>
                <w:sz w:val="24"/>
              </w:rPr>
              <w:t>不组织</w:t>
            </w:r>
          </w:p>
          <w:p w14:paraId="3E2BF0EF">
            <w:pPr>
              <w:spacing w:line="276" w:lineRule="auto"/>
              <w:jc w:val="left"/>
              <w:rPr>
                <w:rFonts w:ascii="宋体" w:hAnsi="宋体"/>
                <w:bCs/>
                <w:sz w:val="24"/>
              </w:rPr>
            </w:pPr>
            <w:r>
              <w:rPr>
                <w:rFonts w:ascii="宋体" w:hAnsi="宋体"/>
              </w:rPr>
              <w:t>□</w:t>
            </w:r>
            <w:r>
              <w:rPr>
                <w:rFonts w:ascii="宋体" w:hAnsi="宋体"/>
                <w:sz w:val="24"/>
              </w:rPr>
              <w:t>组织，考察时间：</w:t>
            </w:r>
            <w:r>
              <w:rPr>
                <w:rFonts w:hint="eastAsia" w:ascii="宋体" w:hAnsi="宋体"/>
                <w:sz w:val="24"/>
                <w:u w:val="single"/>
              </w:rPr>
              <w:t>/</w:t>
            </w:r>
            <w:r>
              <w:rPr>
                <w:rFonts w:ascii="宋体" w:hAnsi="宋体"/>
                <w:sz w:val="24"/>
                <w:lang w:bidi="ar"/>
              </w:rPr>
              <w:t>年</w:t>
            </w:r>
            <w:r>
              <w:rPr>
                <w:rFonts w:hint="eastAsia" w:ascii="宋体" w:hAnsi="宋体"/>
                <w:sz w:val="24"/>
                <w:u w:val="single"/>
              </w:rPr>
              <w:t>/</w:t>
            </w:r>
            <w:r>
              <w:rPr>
                <w:rFonts w:ascii="宋体" w:hAnsi="宋体"/>
                <w:sz w:val="24"/>
                <w:lang w:bidi="ar"/>
              </w:rPr>
              <w:t>月</w:t>
            </w:r>
            <w:r>
              <w:rPr>
                <w:rFonts w:hint="eastAsia" w:ascii="宋体" w:hAnsi="宋体"/>
                <w:sz w:val="24"/>
                <w:u w:val="single"/>
              </w:rPr>
              <w:t>/</w:t>
            </w:r>
            <w:r>
              <w:rPr>
                <w:rFonts w:ascii="宋体" w:hAnsi="宋体"/>
                <w:sz w:val="24"/>
                <w:lang w:bidi="ar"/>
              </w:rPr>
              <w:t>日</w:t>
            </w:r>
            <w:r>
              <w:rPr>
                <w:rFonts w:hint="eastAsia" w:ascii="宋体" w:hAnsi="宋体"/>
                <w:sz w:val="24"/>
                <w:u w:val="single"/>
              </w:rPr>
              <w:t>/</w:t>
            </w:r>
            <w:r>
              <w:rPr>
                <w:rFonts w:ascii="宋体" w:hAnsi="宋体"/>
                <w:sz w:val="24"/>
                <w:lang w:bidi="ar"/>
              </w:rPr>
              <w:t>点</w:t>
            </w:r>
            <w:r>
              <w:rPr>
                <w:rFonts w:hint="eastAsia" w:ascii="宋体" w:hAnsi="宋体"/>
                <w:sz w:val="24"/>
                <w:u w:val="single"/>
              </w:rPr>
              <w:t>/</w:t>
            </w:r>
            <w:r>
              <w:rPr>
                <w:rFonts w:ascii="宋体" w:hAnsi="宋体"/>
                <w:sz w:val="24"/>
                <w:lang w:bidi="ar"/>
              </w:rPr>
              <w:t>分</w:t>
            </w:r>
          </w:p>
          <w:p w14:paraId="36C6DD5D">
            <w:pPr>
              <w:pStyle w:val="36"/>
              <w:adjustRightInd w:val="0"/>
              <w:snapToGrid w:val="0"/>
              <w:spacing w:line="276" w:lineRule="auto"/>
              <w:rPr>
                <w:rFonts w:hint="default" w:hAnsi="宋体"/>
                <w:sz w:val="24"/>
              </w:rPr>
            </w:pPr>
            <w:r>
              <w:rPr>
                <w:rFonts w:hint="default" w:hAnsi="宋体"/>
                <w:sz w:val="24"/>
              </w:rPr>
              <w:t>考察地点：</w:t>
            </w:r>
            <w:r>
              <w:rPr>
                <w:rFonts w:hAnsi="宋体"/>
                <w:sz w:val="24"/>
                <w:u w:val="single"/>
              </w:rPr>
              <w:t>/</w:t>
            </w:r>
            <w:r>
              <w:rPr>
                <w:rFonts w:hAnsi="宋体"/>
                <w:sz w:val="24"/>
              </w:rPr>
              <w:t>。</w:t>
            </w:r>
          </w:p>
        </w:tc>
      </w:tr>
      <w:tr w14:paraId="4135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022A26B">
            <w:pPr>
              <w:pStyle w:val="36"/>
              <w:adjustRightInd w:val="0"/>
              <w:snapToGrid w:val="0"/>
              <w:jc w:val="center"/>
              <w:rPr>
                <w:rFonts w:hint="default" w:hAnsi="宋体"/>
                <w:sz w:val="24"/>
                <w:szCs w:val="24"/>
              </w:rPr>
            </w:pPr>
          </w:p>
        </w:tc>
        <w:tc>
          <w:tcPr>
            <w:tcW w:w="1701" w:type="dxa"/>
            <w:vAlign w:val="center"/>
          </w:tcPr>
          <w:p w14:paraId="6BBD9838">
            <w:pPr>
              <w:spacing w:line="276" w:lineRule="auto"/>
              <w:jc w:val="center"/>
              <w:rPr>
                <w:rFonts w:ascii="宋体" w:hAnsi="宋体"/>
                <w:sz w:val="24"/>
              </w:rPr>
            </w:pPr>
            <w:r>
              <w:rPr>
                <w:rFonts w:ascii="宋体" w:hAnsi="宋体"/>
                <w:sz w:val="24"/>
              </w:rPr>
              <w:t>磋商前答疑会</w:t>
            </w:r>
          </w:p>
        </w:tc>
        <w:tc>
          <w:tcPr>
            <w:tcW w:w="7253" w:type="dxa"/>
            <w:vAlign w:val="center"/>
          </w:tcPr>
          <w:p w14:paraId="638582C5">
            <w:pPr>
              <w:spacing w:line="276" w:lineRule="auto"/>
              <w:jc w:val="left"/>
              <w:rPr>
                <w:rFonts w:ascii="宋体" w:hAnsi="宋体"/>
                <w:sz w:val="24"/>
              </w:rPr>
            </w:pPr>
            <w:r>
              <w:rPr>
                <w:rFonts w:ascii="宋体" w:hAnsi="宋体"/>
                <w:b/>
                <w:sz w:val="24"/>
              </w:rPr>
              <w:t>■</w:t>
            </w:r>
            <w:r>
              <w:rPr>
                <w:rFonts w:ascii="宋体" w:hAnsi="宋体"/>
                <w:sz w:val="24"/>
              </w:rPr>
              <w:t>不召开</w:t>
            </w:r>
          </w:p>
          <w:p w14:paraId="13F6A519">
            <w:pPr>
              <w:spacing w:line="276" w:lineRule="auto"/>
              <w:jc w:val="left"/>
              <w:rPr>
                <w:rFonts w:ascii="宋体" w:hAnsi="宋体"/>
                <w:sz w:val="24"/>
              </w:rPr>
            </w:pPr>
            <w:r>
              <w:rPr>
                <w:rFonts w:ascii="宋体" w:hAnsi="宋体"/>
              </w:rPr>
              <w:t>□</w:t>
            </w:r>
            <w:r>
              <w:rPr>
                <w:rFonts w:ascii="宋体" w:hAnsi="宋体"/>
                <w:sz w:val="24"/>
              </w:rPr>
              <w:t>召开，召开时间：</w:t>
            </w:r>
            <w:r>
              <w:rPr>
                <w:rFonts w:hint="eastAsia" w:ascii="宋体" w:hAnsi="宋体"/>
                <w:sz w:val="24"/>
                <w:u w:val="single"/>
              </w:rPr>
              <w:t>/</w:t>
            </w:r>
            <w:r>
              <w:rPr>
                <w:rFonts w:ascii="宋体" w:hAnsi="宋体"/>
                <w:sz w:val="24"/>
                <w:lang w:bidi="ar"/>
              </w:rPr>
              <w:t>年</w:t>
            </w:r>
            <w:r>
              <w:rPr>
                <w:rFonts w:hint="eastAsia" w:ascii="宋体" w:hAnsi="宋体"/>
                <w:sz w:val="24"/>
                <w:u w:val="single"/>
              </w:rPr>
              <w:t>/</w:t>
            </w:r>
            <w:r>
              <w:rPr>
                <w:rFonts w:ascii="宋体" w:hAnsi="宋体"/>
                <w:sz w:val="24"/>
                <w:lang w:bidi="ar"/>
              </w:rPr>
              <w:t>月</w:t>
            </w:r>
            <w:r>
              <w:rPr>
                <w:rFonts w:hint="eastAsia" w:ascii="宋体" w:hAnsi="宋体"/>
                <w:sz w:val="24"/>
                <w:u w:val="single"/>
              </w:rPr>
              <w:t>/</w:t>
            </w:r>
            <w:r>
              <w:rPr>
                <w:rFonts w:ascii="宋体" w:hAnsi="宋体"/>
                <w:sz w:val="24"/>
                <w:lang w:bidi="ar"/>
              </w:rPr>
              <w:t>日</w:t>
            </w:r>
            <w:r>
              <w:rPr>
                <w:rFonts w:hint="eastAsia" w:ascii="宋体" w:hAnsi="宋体"/>
                <w:sz w:val="24"/>
                <w:u w:val="single"/>
              </w:rPr>
              <w:t>/</w:t>
            </w:r>
            <w:r>
              <w:rPr>
                <w:rFonts w:ascii="宋体" w:hAnsi="宋体"/>
                <w:sz w:val="24"/>
                <w:lang w:bidi="ar"/>
              </w:rPr>
              <w:t>点</w:t>
            </w:r>
            <w:r>
              <w:rPr>
                <w:rFonts w:hint="eastAsia" w:ascii="宋体" w:hAnsi="宋体"/>
                <w:sz w:val="24"/>
                <w:u w:val="single"/>
              </w:rPr>
              <w:t>/</w:t>
            </w:r>
            <w:r>
              <w:rPr>
                <w:rFonts w:ascii="宋体" w:hAnsi="宋体"/>
                <w:sz w:val="24"/>
                <w:lang w:bidi="ar"/>
              </w:rPr>
              <w:t>分</w:t>
            </w:r>
          </w:p>
          <w:p w14:paraId="78286846">
            <w:pPr>
              <w:spacing w:line="276" w:lineRule="auto"/>
              <w:jc w:val="left"/>
              <w:rPr>
                <w:rFonts w:ascii="宋体" w:hAnsi="宋体"/>
                <w:sz w:val="24"/>
              </w:rPr>
            </w:pPr>
            <w:r>
              <w:rPr>
                <w:rFonts w:ascii="宋体" w:hAnsi="宋体"/>
                <w:sz w:val="24"/>
              </w:rPr>
              <w:t>召开地点：</w:t>
            </w:r>
            <w:r>
              <w:rPr>
                <w:rFonts w:hint="eastAsia" w:ascii="宋体" w:hAnsi="宋体"/>
                <w:sz w:val="24"/>
                <w:u w:val="single"/>
              </w:rPr>
              <w:t>/</w:t>
            </w:r>
            <w:r>
              <w:rPr>
                <w:rFonts w:hint="eastAsia" w:ascii="宋体" w:hAnsi="宋体"/>
                <w:sz w:val="24"/>
              </w:rPr>
              <w:t>。</w:t>
            </w:r>
          </w:p>
        </w:tc>
      </w:tr>
      <w:tr w14:paraId="5483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35105A57">
            <w:pPr>
              <w:pStyle w:val="36"/>
              <w:adjustRightInd w:val="0"/>
              <w:snapToGrid w:val="0"/>
              <w:jc w:val="center"/>
              <w:rPr>
                <w:rFonts w:hint="default" w:hAnsi="宋体"/>
                <w:sz w:val="24"/>
                <w:szCs w:val="24"/>
              </w:rPr>
            </w:pPr>
            <w:r>
              <w:rPr>
                <w:rFonts w:hint="default" w:hAnsi="宋体"/>
                <w:sz w:val="24"/>
                <w:szCs w:val="24"/>
              </w:rPr>
              <w:t>4.2.5</w:t>
            </w:r>
          </w:p>
        </w:tc>
        <w:tc>
          <w:tcPr>
            <w:tcW w:w="1701" w:type="dxa"/>
            <w:vAlign w:val="center"/>
          </w:tcPr>
          <w:p w14:paraId="4F66820A">
            <w:pPr>
              <w:spacing w:line="276" w:lineRule="auto"/>
              <w:jc w:val="center"/>
              <w:rPr>
                <w:rFonts w:ascii="宋体" w:hAnsi="宋体"/>
                <w:sz w:val="24"/>
              </w:rPr>
            </w:pPr>
            <w:r>
              <w:rPr>
                <w:rFonts w:ascii="宋体" w:hAnsi="宋体"/>
                <w:sz w:val="24"/>
              </w:rPr>
              <w:t>标的所属行业</w:t>
            </w:r>
          </w:p>
        </w:tc>
        <w:tc>
          <w:tcPr>
            <w:tcW w:w="7253" w:type="dxa"/>
            <w:vAlign w:val="center"/>
          </w:tcPr>
          <w:p w14:paraId="2A978995">
            <w:pPr>
              <w:spacing w:line="276" w:lineRule="auto"/>
              <w:jc w:val="left"/>
              <w:rPr>
                <w:rFonts w:ascii="宋体" w:hAnsi="宋体"/>
                <w:sz w:val="24"/>
              </w:rPr>
            </w:pPr>
            <w:r>
              <w:rPr>
                <w:rFonts w:ascii="宋体" w:hAnsi="宋体"/>
                <w:sz w:val="24"/>
              </w:rPr>
              <w:t>本项目采购标的对应的中小企业划分标准所属行业：</w:t>
            </w:r>
          </w:p>
          <w:tbl>
            <w:tblPr>
              <w:tblStyle w:val="67"/>
              <w:tblW w:w="7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gridCol w:w="3141"/>
            </w:tblGrid>
            <w:tr w14:paraId="1BBB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6" w:type="dxa"/>
                  <w:tcBorders>
                    <w:top w:val="single" w:color="auto" w:sz="4" w:space="0"/>
                    <w:left w:val="single" w:color="auto" w:sz="4" w:space="0"/>
                    <w:bottom w:val="single" w:color="auto" w:sz="4" w:space="0"/>
                    <w:right w:val="single" w:color="auto" w:sz="4" w:space="0"/>
                  </w:tcBorders>
                  <w:vAlign w:val="center"/>
                </w:tcPr>
                <w:p w14:paraId="1285EBB4">
                  <w:pPr>
                    <w:spacing w:line="276" w:lineRule="auto"/>
                    <w:jc w:val="center"/>
                    <w:rPr>
                      <w:rFonts w:ascii="宋体" w:hAnsi="宋体"/>
                      <w:bCs/>
                      <w:sz w:val="24"/>
                    </w:rPr>
                  </w:pPr>
                </w:p>
              </w:tc>
              <w:tc>
                <w:tcPr>
                  <w:tcW w:w="3141" w:type="dxa"/>
                  <w:tcBorders>
                    <w:top w:val="single" w:color="auto" w:sz="4" w:space="0"/>
                    <w:left w:val="single" w:color="auto" w:sz="4" w:space="0"/>
                    <w:bottom w:val="single" w:color="auto" w:sz="4" w:space="0"/>
                    <w:right w:val="single" w:color="auto" w:sz="4" w:space="0"/>
                  </w:tcBorders>
                  <w:vAlign w:val="center"/>
                </w:tcPr>
                <w:p w14:paraId="36B01250">
                  <w:pPr>
                    <w:spacing w:line="276" w:lineRule="auto"/>
                    <w:jc w:val="center"/>
                    <w:rPr>
                      <w:rFonts w:ascii="宋体" w:hAnsi="宋体"/>
                      <w:sz w:val="24"/>
                    </w:rPr>
                  </w:pPr>
                  <w:r>
                    <w:rPr>
                      <w:rFonts w:ascii="宋体" w:hAnsi="宋体"/>
                      <w:sz w:val="24"/>
                    </w:rPr>
                    <w:t>中小企业划分标准所属行业</w:t>
                  </w:r>
                </w:p>
              </w:tc>
            </w:tr>
            <w:tr w14:paraId="0F9C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6" w:type="dxa"/>
                  <w:tcBorders>
                    <w:top w:val="single" w:color="auto" w:sz="4" w:space="0"/>
                    <w:left w:val="single" w:color="auto" w:sz="4" w:space="0"/>
                    <w:bottom w:val="single" w:color="auto" w:sz="4" w:space="0"/>
                    <w:right w:val="single" w:color="auto" w:sz="4" w:space="0"/>
                  </w:tcBorders>
                  <w:vAlign w:val="center"/>
                </w:tcPr>
                <w:p w14:paraId="7B1A56C6">
                  <w:pPr>
                    <w:spacing w:line="360" w:lineRule="auto"/>
                    <w:jc w:val="center"/>
                    <w:rPr>
                      <w:rFonts w:ascii="宋体" w:hAnsi="宋体"/>
                      <w:bCs/>
                      <w:sz w:val="24"/>
                    </w:rPr>
                  </w:pPr>
                </w:p>
              </w:tc>
              <w:tc>
                <w:tcPr>
                  <w:tcW w:w="3141" w:type="dxa"/>
                  <w:tcBorders>
                    <w:top w:val="single" w:color="auto" w:sz="4" w:space="0"/>
                    <w:left w:val="single" w:color="auto" w:sz="4" w:space="0"/>
                    <w:bottom w:val="single" w:color="auto" w:sz="4" w:space="0"/>
                    <w:right w:val="single" w:color="auto" w:sz="4" w:space="0"/>
                  </w:tcBorders>
                  <w:vAlign w:val="center"/>
                </w:tcPr>
                <w:p w14:paraId="3C7FD860">
                  <w:pPr>
                    <w:spacing w:line="276" w:lineRule="auto"/>
                    <w:jc w:val="center"/>
                    <w:rPr>
                      <w:rFonts w:ascii="宋体" w:hAnsi="宋体"/>
                      <w:kern w:val="0"/>
                      <w:sz w:val="24"/>
                    </w:rPr>
                  </w:pPr>
                  <w:r>
                    <w:rPr>
                      <w:rFonts w:hint="eastAsia" w:ascii="宋体" w:hAnsi="宋体"/>
                      <w:kern w:val="0"/>
                      <w:sz w:val="24"/>
                    </w:rPr>
                    <w:t>建筑业</w:t>
                  </w:r>
                </w:p>
              </w:tc>
            </w:tr>
          </w:tbl>
          <w:p w14:paraId="0852333A">
            <w:pPr>
              <w:spacing w:line="276" w:lineRule="auto"/>
              <w:jc w:val="left"/>
              <w:rPr>
                <w:rFonts w:ascii="宋体" w:hAnsi="宋体"/>
                <w:sz w:val="24"/>
              </w:rPr>
            </w:pPr>
          </w:p>
        </w:tc>
      </w:tr>
      <w:tr w14:paraId="64CB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64E76068">
            <w:pPr>
              <w:pStyle w:val="36"/>
              <w:adjustRightInd w:val="0"/>
              <w:snapToGrid w:val="0"/>
              <w:jc w:val="center"/>
              <w:rPr>
                <w:rFonts w:hint="default" w:hAnsi="宋体"/>
                <w:sz w:val="24"/>
                <w:szCs w:val="24"/>
              </w:rPr>
            </w:pPr>
            <w:r>
              <w:rPr>
                <w:rFonts w:hint="default" w:hAnsi="宋体"/>
                <w:sz w:val="24"/>
                <w:szCs w:val="24"/>
              </w:rPr>
              <w:t>10.2</w:t>
            </w:r>
          </w:p>
        </w:tc>
        <w:tc>
          <w:tcPr>
            <w:tcW w:w="1701" w:type="dxa"/>
            <w:vAlign w:val="center"/>
          </w:tcPr>
          <w:p w14:paraId="1B6A6C65">
            <w:pPr>
              <w:spacing w:line="276" w:lineRule="auto"/>
              <w:jc w:val="center"/>
              <w:rPr>
                <w:rFonts w:ascii="宋体" w:hAnsi="宋体"/>
                <w:sz w:val="24"/>
              </w:rPr>
            </w:pPr>
            <w:r>
              <w:rPr>
                <w:rFonts w:ascii="宋体" w:hAnsi="宋体"/>
                <w:sz w:val="24"/>
              </w:rPr>
              <w:t>报价</w:t>
            </w:r>
          </w:p>
        </w:tc>
        <w:tc>
          <w:tcPr>
            <w:tcW w:w="7253" w:type="dxa"/>
            <w:vAlign w:val="center"/>
          </w:tcPr>
          <w:p w14:paraId="5CCD26C5">
            <w:pPr>
              <w:spacing w:line="276" w:lineRule="auto"/>
              <w:jc w:val="left"/>
              <w:rPr>
                <w:rFonts w:ascii="宋体" w:hAnsi="宋体"/>
                <w:sz w:val="24"/>
              </w:rPr>
            </w:pPr>
            <w:r>
              <w:rPr>
                <w:rFonts w:ascii="宋体" w:hAnsi="宋体"/>
                <w:sz w:val="24"/>
              </w:rPr>
              <w:t>报价的特殊规定：</w:t>
            </w:r>
          </w:p>
          <w:p w14:paraId="455549BA">
            <w:pPr>
              <w:spacing w:line="276" w:lineRule="auto"/>
              <w:jc w:val="left"/>
              <w:rPr>
                <w:rFonts w:ascii="宋体" w:hAnsi="宋体"/>
                <w:sz w:val="24"/>
              </w:rPr>
            </w:pPr>
            <w:r>
              <w:rPr>
                <w:rFonts w:ascii="宋体" w:hAnsi="宋体"/>
                <w:sz w:val="24"/>
              </w:rPr>
              <w:t>■无</w:t>
            </w:r>
          </w:p>
          <w:p w14:paraId="73FA4F91">
            <w:pPr>
              <w:spacing w:line="276" w:lineRule="auto"/>
              <w:jc w:val="left"/>
              <w:rPr>
                <w:rFonts w:ascii="宋体" w:hAnsi="宋体"/>
                <w:sz w:val="24"/>
              </w:rPr>
            </w:pPr>
            <w:r>
              <w:rPr>
                <w:rFonts w:ascii="宋体" w:hAnsi="宋体"/>
                <w:sz w:val="24"/>
              </w:rPr>
              <w:t>有，具体情形：</w:t>
            </w:r>
            <w:r>
              <w:rPr>
                <w:rFonts w:hint="eastAsia" w:ascii="宋体" w:hAnsi="宋体"/>
                <w:sz w:val="24"/>
                <w:u w:val="single"/>
              </w:rPr>
              <w:t>/</w:t>
            </w:r>
          </w:p>
        </w:tc>
      </w:tr>
      <w:tr w14:paraId="3E28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7B6CB5A">
            <w:pPr>
              <w:pStyle w:val="36"/>
              <w:adjustRightInd w:val="0"/>
              <w:snapToGrid w:val="0"/>
              <w:jc w:val="center"/>
              <w:rPr>
                <w:rFonts w:hint="default" w:hAnsi="宋体"/>
                <w:sz w:val="24"/>
                <w:szCs w:val="24"/>
              </w:rPr>
            </w:pPr>
            <w:r>
              <w:rPr>
                <w:rFonts w:hint="default" w:hAnsi="宋体"/>
                <w:sz w:val="24"/>
                <w:szCs w:val="24"/>
              </w:rPr>
              <w:t>11.1</w:t>
            </w:r>
          </w:p>
        </w:tc>
        <w:tc>
          <w:tcPr>
            <w:tcW w:w="1701" w:type="dxa"/>
            <w:vMerge w:val="restart"/>
            <w:vAlign w:val="center"/>
          </w:tcPr>
          <w:p w14:paraId="6AA419F4">
            <w:pPr>
              <w:spacing w:line="276" w:lineRule="auto"/>
              <w:jc w:val="center"/>
              <w:rPr>
                <w:rFonts w:ascii="宋体" w:hAnsi="宋体"/>
                <w:sz w:val="24"/>
              </w:rPr>
            </w:pPr>
            <w:r>
              <w:rPr>
                <w:rFonts w:ascii="宋体" w:hAnsi="宋体"/>
                <w:sz w:val="24"/>
              </w:rPr>
              <w:t>磋商保证金</w:t>
            </w:r>
            <w:r>
              <w:rPr>
                <w:rFonts w:hint="eastAsia" w:ascii="宋体" w:hAnsi="宋体" w:cs="宋体"/>
                <w:sz w:val="24"/>
              </w:rPr>
              <w:t>（本项目不适用）</w:t>
            </w:r>
          </w:p>
        </w:tc>
        <w:tc>
          <w:tcPr>
            <w:tcW w:w="7253" w:type="dxa"/>
            <w:vAlign w:val="center"/>
          </w:tcPr>
          <w:p w14:paraId="348492D0">
            <w:pPr>
              <w:pStyle w:val="36"/>
              <w:adjustRightInd w:val="0"/>
              <w:snapToGrid w:val="0"/>
              <w:spacing w:line="360" w:lineRule="auto"/>
              <w:rPr>
                <w:rFonts w:hint="default" w:hAnsi="宋体" w:cs="宋体"/>
                <w:sz w:val="24"/>
                <w:szCs w:val="24"/>
              </w:rPr>
            </w:pPr>
            <w:r>
              <w:rPr>
                <w:rFonts w:hAnsi="宋体" w:cs="宋体"/>
                <w:sz w:val="24"/>
                <w:szCs w:val="24"/>
              </w:rPr>
              <w:t>磋商保证金金额：</w:t>
            </w:r>
            <w:r>
              <w:rPr>
                <w:rFonts w:hAnsi="宋体" w:cs="宋体"/>
                <w:sz w:val="24"/>
                <w:u w:val="single"/>
              </w:rPr>
              <w:t xml:space="preserve">  /  </w:t>
            </w:r>
            <w:r>
              <w:rPr>
                <w:rFonts w:hAnsi="宋体" w:cs="宋体"/>
                <w:sz w:val="24"/>
              </w:rPr>
              <w:t>元</w:t>
            </w:r>
            <w:r>
              <w:rPr>
                <w:rFonts w:hAnsi="宋体" w:cs="宋体"/>
                <w:sz w:val="24"/>
                <w:szCs w:val="24"/>
              </w:rPr>
              <w:t>。</w:t>
            </w:r>
          </w:p>
          <w:p w14:paraId="5D0101FD">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磋商保证金交纳形式：</w:t>
            </w:r>
            <w:r>
              <w:rPr>
                <w:rFonts w:hAnsi="宋体" w:cs="宋体"/>
                <w:sz w:val="24"/>
                <w:u w:val="single"/>
              </w:rPr>
              <w:t xml:space="preserve">  </w:t>
            </w:r>
            <w:r>
              <w:rPr>
                <w:rFonts w:hint="eastAsia" w:hAnsi="宋体" w:cs="宋体"/>
                <w:sz w:val="24"/>
                <w:u w:val="single"/>
              </w:rPr>
              <w:t>/</w:t>
            </w:r>
            <w:r>
              <w:rPr>
                <w:rFonts w:hAnsi="宋体" w:cs="宋体"/>
                <w:sz w:val="24"/>
                <w:u w:val="single"/>
              </w:rPr>
              <w:t xml:space="preserve">  </w:t>
            </w:r>
          </w:p>
          <w:p w14:paraId="0AB62B3E">
            <w:pPr>
              <w:autoSpaceDE w:val="0"/>
              <w:autoSpaceDN w:val="0"/>
              <w:adjustRightInd w:val="0"/>
              <w:spacing w:line="360" w:lineRule="auto"/>
              <w:jc w:val="left"/>
              <w:rPr>
                <w:rFonts w:ascii="宋体" w:hAnsi="宋体" w:cs="宋体"/>
                <w:kern w:val="0"/>
                <w:sz w:val="24"/>
                <w:u w:val="single"/>
              </w:rPr>
            </w:pPr>
            <w:r>
              <w:rPr>
                <w:rFonts w:hint="eastAsia" w:ascii="宋体" w:hAnsi="宋体" w:cs="宋体"/>
                <w:kern w:val="0"/>
                <w:sz w:val="24"/>
              </w:rPr>
              <w:t>账户名称：</w:t>
            </w:r>
            <w:r>
              <w:rPr>
                <w:rFonts w:ascii="宋体" w:hAnsi="宋体" w:cs="宋体"/>
                <w:kern w:val="0"/>
                <w:sz w:val="24"/>
                <w:u w:val="single"/>
              </w:rPr>
              <w:t xml:space="preserve"> </w:t>
            </w:r>
          </w:p>
          <w:p w14:paraId="09A5A552">
            <w:pPr>
              <w:autoSpaceDE w:val="0"/>
              <w:autoSpaceDN w:val="0"/>
              <w:adjustRightInd w:val="0"/>
              <w:spacing w:line="360" w:lineRule="auto"/>
              <w:jc w:val="left"/>
              <w:rPr>
                <w:rFonts w:ascii="宋体" w:hAnsi="宋体" w:cs="宋体"/>
                <w:kern w:val="0"/>
                <w:sz w:val="24"/>
                <w:u w:val="single"/>
              </w:rPr>
            </w:pPr>
            <w:r>
              <w:rPr>
                <w:rFonts w:hint="eastAsia" w:ascii="宋体" w:hAnsi="宋体" w:cs="宋体"/>
                <w:kern w:val="0"/>
                <w:sz w:val="24"/>
              </w:rPr>
              <w:t>开 户 行：</w:t>
            </w:r>
            <w:r>
              <w:rPr>
                <w:rFonts w:ascii="宋体" w:hAnsi="宋体" w:cs="宋体"/>
                <w:kern w:val="0"/>
                <w:sz w:val="24"/>
                <w:u w:val="single"/>
              </w:rPr>
              <w:t xml:space="preserve"> </w:t>
            </w:r>
          </w:p>
          <w:p w14:paraId="32C3EC51">
            <w:pPr>
              <w:autoSpaceDE w:val="0"/>
              <w:autoSpaceDN w:val="0"/>
              <w:adjustRightInd w:val="0"/>
              <w:spacing w:line="360" w:lineRule="auto"/>
              <w:jc w:val="left"/>
              <w:rPr>
                <w:rFonts w:ascii="宋体" w:hAnsi="宋体" w:cs="宋体"/>
                <w:kern w:val="0"/>
                <w:sz w:val="24"/>
                <w:u w:val="single"/>
              </w:rPr>
            </w:pPr>
            <w:r>
              <w:rPr>
                <w:rFonts w:hint="eastAsia" w:ascii="宋体" w:hAnsi="宋体" w:cs="宋体"/>
                <w:kern w:val="0"/>
                <w:sz w:val="24"/>
              </w:rPr>
              <w:t>账    号：</w:t>
            </w:r>
          </w:p>
          <w:p w14:paraId="214DBBBD">
            <w:pPr>
              <w:pStyle w:val="36"/>
              <w:adjustRightInd w:val="0"/>
              <w:snapToGrid w:val="0"/>
              <w:spacing w:line="360" w:lineRule="auto"/>
              <w:rPr>
                <w:rFonts w:hint="default" w:hAnsi="宋体" w:cs="宋体"/>
                <w:sz w:val="24"/>
                <w:szCs w:val="24"/>
              </w:rPr>
            </w:pPr>
            <w:r>
              <w:rPr>
                <w:rFonts w:hAnsi="宋体" w:cs="宋体"/>
                <w:kern w:val="0"/>
                <w:sz w:val="24"/>
                <w:szCs w:val="24"/>
              </w:rPr>
              <w:t>注：供应商的投标保证金必须从供应商的基本账户转出。</w:t>
            </w:r>
          </w:p>
        </w:tc>
      </w:tr>
      <w:tr w14:paraId="4481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271DDA9">
            <w:pPr>
              <w:pStyle w:val="36"/>
              <w:adjustRightInd w:val="0"/>
              <w:snapToGrid w:val="0"/>
              <w:jc w:val="center"/>
              <w:rPr>
                <w:rFonts w:hint="default" w:hAnsi="宋体"/>
                <w:sz w:val="24"/>
                <w:szCs w:val="24"/>
              </w:rPr>
            </w:pPr>
            <w:r>
              <w:rPr>
                <w:rFonts w:hint="default" w:hAnsi="宋体"/>
                <w:sz w:val="24"/>
                <w:szCs w:val="24"/>
              </w:rPr>
              <w:t>11.7.5</w:t>
            </w:r>
          </w:p>
        </w:tc>
        <w:tc>
          <w:tcPr>
            <w:tcW w:w="1701" w:type="dxa"/>
            <w:vMerge w:val="continue"/>
            <w:vAlign w:val="center"/>
          </w:tcPr>
          <w:p w14:paraId="055150A0">
            <w:pPr>
              <w:spacing w:line="276" w:lineRule="auto"/>
              <w:jc w:val="center"/>
              <w:rPr>
                <w:rFonts w:ascii="宋体" w:hAnsi="宋体"/>
                <w:sz w:val="24"/>
              </w:rPr>
            </w:pPr>
          </w:p>
        </w:tc>
        <w:tc>
          <w:tcPr>
            <w:tcW w:w="7253" w:type="dxa"/>
            <w:vAlign w:val="center"/>
          </w:tcPr>
          <w:p w14:paraId="1B8EAE65">
            <w:pPr>
              <w:spacing w:line="360" w:lineRule="auto"/>
              <w:jc w:val="left"/>
              <w:rPr>
                <w:rFonts w:ascii="宋体" w:hAnsi="宋体" w:cs="宋体"/>
                <w:sz w:val="24"/>
              </w:rPr>
            </w:pPr>
            <w:r>
              <w:rPr>
                <w:rFonts w:hint="eastAsia" w:ascii="宋体" w:hAnsi="宋体" w:cs="宋体"/>
                <w:sz w:val="24"/>
              </w:rPr>
              <w:t>磋商保证金不予退还的其他情形：</w:t>
            </w:r>
          </w:p>
          <w:p w14:paraId="4BC508DF">
            <w:pPr>
              <w:spacing w:line="360" w:lineRule="auto"/>
              <w:jc w:val="left"/>
              <w:rPr>
                <w:rFonts w:ascii="宋体" w:hAnsi="宋体" w:cs="宋体"/>
                <w:sz w:val="24"/>
              </w:rPr>
            </w:pPr>
            <w:r>
              <w:rPr>
                <w:rFonts w:hint="eastAsia" w:ascii="宋体" w:hAnsi="宋体" w:cs="宋体"/>
                <w:sz w:val="24"/>
              </w:rPr>
              <w:t>■无</w:t>
            </w:r>
          </w:p>
          <w:p w14:paraId="60F224FB">
            <w:pPr>
              <w:widowControl/>
              <w:jc w:val="left"/>
              <w:rPr>
                <w:rFonts w:ascii="宋体" w:hAnsi="宋体" w:cs="宋体"/>
                <w:sz w:val="24"/>
              </w:rPr>
            </w:pPr>
            <w:r>
              <w:rPr>
                <w:rFonts w:hint="eastAsia" w:ascii="宋体" w:hAnsi="宋体" w:cs="宋体"/>
                <w:sz w:val="24"/>
              </w:rPr>
              <w:t>□有，具体情形：</w:t>
            </w:r>
            <w:r>
              <w:rPr>
                <w:rFonts w:hint="eastAsia" w:ascii="宋体" w:hAnsi="宋体" w:cs="宋体"/>
                <w:kern w:val="0"/>
                <w:sz w:val="24"/>
                <w:u w:val="single"/>
                <w:lang w:bidi="ar"/>
              </w:rPr>
              <w:t xml:space="preserve"> </w:t>
            </w:r>
            <w:r>
              <w:rPr>
                <w:rFonts w:ascii="宋体" w:hAnsi="宋体" w:cs="宋体"/>
                <w:kern w:val="0"/>
                <w:sz w:val="24"/>
                <w:u w:val="single"/>
                <w:lang w:bidi="ar"/>
              </w:rPr>
              <w:t xml:space="preserve"> </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rPr>
              <w:t>。</w:t>
            </w:r>
          </w:p>
        </w:tc>
      </w:tr>
      <w:tr w14:paraId="1ABA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CDB4785">
            <w:pPr>
              <w:pStyle w:val="36"/>
              <w:adjustRightInd w:val="0"/>
              <w:snapToGrid w:val="0"/>
              <w:jc w:val="center"/>
              <w:rPr>
                <w:rFonts w:hint="default" w:hAnsi="宋体"/>
                <w:sz w:val="24"/>
                <w:szCs w:val="24"/>
              </w:rPr>
            </w:pPr>
            <w:r>
              <w:rPr>
                <w:rFonts w:hint="default" w:hAnsi="宋体"/>
                <w:sz w:val="24"/>
                <w:szCs w:val="24"/>
              </w:rPr>
              <w:t>12.1</w:t>
            </w:r>
          </w:p>
        </w:tc>
        <w:tc>
          <w:tcPr>
            <w:tcW w:w="1701" w:type="dxa"/>
            <w:vAlign w:val="center"/>
          </w:tcPr>
          <w:p w14:paraId="43538691">
            <w:pPr>
              <w:spacing w:line="276" w:lineRule="auto"/>
              <w:jc w:val="center"/>
              <w:rPr>
                <w:rFonts w:ascii="宋体" w:hAnsi="宋体"/>
                <w:sz w:val="24"/>
              </w:rPr>
            </w:pPr>
            <w:r>
              <w:rPr>
                <w:rFonts w:ascii="宋体" w:hAnsi="宋体"/>
                <w:sz w:val="24"/>
              </w:rPr>
              <w:t>响应有效期</w:t>
            </w:r>
          </w:p>
        </w:tc>
        <w:tc>
          <w:tcPr>
            <w:tcW w:w="7253" w:type="dxa"/>
            <w:vAlign w:val="center"/>
          </w:tcPr>
          <w:p w14:paraId="765E4CED">
            <w:pPr>
              <w:spacing w:line="276" w:lineRule="auto"/>
              <w:jc w:val="left"/>
              <w:rPr>
                <w:rFonts w:ascii="宋体" w:hAnsi="宋体"/>
                <w:sz w:val="24"/>
              </w:rPr>
            </w:pPr>
            <w:r>
              <w:rPr>
                <w:rFonts w:ascii="宋体" w:hAnsi="宋体"/>
                <w:sz w:val="24"/>
              </w:rPr>
              <w:t>自提交响应文件的截止之日起算</w:t>
            </w:r>
            <w:r>
              <w:rPr>
                <w:rFonts w:ascii="宋体" w:hAnsi="宋体"/>
                <w:sz w:val="24"/>
                <w:u w:val="single"/>
              </w:rPr>
              <w:t>90</w:t>
            </w:r>
            <w:r>
              <w:rPr>
                <w:rFonts w:ascii="宋体" w:hAnsi="宋体"/>
                <w:sz w:val="24"/>
              </w:rPr>
              <w:t>日历天。</w:t>
            </w:r>
          </w:p>
        </w:tc>
      </w:tr>
      <w:tr w14:paraId="38DB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1A9B964">
            <w:pPr>
              <w:pStyle w:val="36"/>
              <w:adjustRightInd w:val="0"/>
              <w:snapToGrid w:val="0"/>
              <w:jc w:val="center"/>
              <w:rPr>
                <w:rFonts w:hint="default" w:hAnsi="宋体"/>
                <w:sz w:val="24"/>
                <w:szCs w:val="24"/>
              </w:rPr>
            </w:pPr>
            <w:r>
              <w:rPr>
                <w:rFonts w:hint="default" w:hAnsi="宋体"/>
                <w:sz w:val="24"/>
                <w:szCs w:val="24"/>
              </w:rPr>
              <w:t>20.1</w:t>
            </w:r>
          </w:p>
        </w:tc>
        <w:tc>
          <w:tcPr>
            <w:tcW w:w="1701" w:type="dxa"/>
            <w:vAlign w:val="center"/>
          </w:tcPr>
          <w:p w14:paraId="173A143C">
            <w:pPr>
              <w:spacing w:line="276" w:lineRule="auto"/>
              <w:jc w:val="center"/>
              <w:rPr>
                <w:rFonts w:ascii="宋体" w:hAnsi="宋体"/>
                <w:sz w:val="24"/>
              </w:rPr>
            </w:pPr>
            <w:r>
              <w:rPr>
                <w:rFonts w:ascii="宋体" w:hAnsi="宋体"/>
                <w:sz w:val="24"/>
              </w:rPr>
              <w:t>成交供应商的确认</w:t>
            </w:r>
          </w:p>
        </w:tc>
        <w:tc>
          <w:tcPr>
            <w:tcW w:w="7253" w:type="dxa"/>
            <w:vAlign w:val="center"/>
          </w:tcPr>
          <w:p w14:paraId="2A2712A5">
            <w:pPr>
              <w:pStyle w:val="36"/>
              <w:adjustRightInd w:val="0"/>
              <w:snapToGrid w:val="0"/>
              <w:spacing w:line="276" w:lineRule="auto"/>
              <w:rPr>
                <w:rFonts w:hint="default" w:hAnsi="宋体"/>
                <w:sz w:val="24"/>
              </w:rPr>
            </w:pPr>
            <w:r>
              <w:rPr>
                <w:rFonts w:hint="default" w:hAnsi="宋体"/>
                <w:sz w:val="24"/>
              </w:rPr>
              <w:t>采购人是否授权磋商小组直接确定成交供应商：</w:t>
            </w:r>
          </w:p>
          <w:p w14:paraId="38031D68">
            <w:pPr>
              <w:spacing w:line="276" w:lineRule="auto"/>
              <w:jc w:val="left"/>
              <w:rPr>
                <w:rFonts w:ascii="宋体" w:hAnsi="宋体"/>
              </w:rPr>
            </w:pPr>
            <w:r>
              <w:rPr>
                <w:rFonts w:ascii="宋体" w:hAnsi="宋体"/>
                <w:b/>
                <w:sz w:val="24"/>
              </w:rPr>
              <w:t>■</w:t>
            </w:r>
            <w:r>
              <w:rPr>
                <w:rFonts w:ascii="宋体" w:hAnsi="宋体"/>
              </w:rPr>
              <w:t>否</w:t>
            </w:r>
          </w:p>
          <w:p w14:paraId="6A8BF3F9">
            <w:pPr>
              <w:spacing w:line="276" w:lineRule="auto"/>
              <w:jc w:val="left"/>
              <w:rPr>
                <w:rFonts w:ascii="宋体" w:hAnsi="宋体"/>
                <w:sz w:val="24"/>
              </w:rPr>
            </w:pPr>
            <w:r>
              <w:rPr>
                <w:rFonts w:ascii="宋体" w:hAnsi="宋体"/>
              </w:rPr>
              <w:t>□</w:t>
            </w:r>
            <w:r>
              <w:rPr>
                <w:rFonts w:ascii="宋体" w:hAnsi="宋体"/>
                <w:sz w:val="24"/>
              </w:rPr>
              <w:t>是</w:t>
            </w:r>
          </w:p>
          <w:p w14:paraId="161B8574">
            <w:pPr>
              <w:spacing w:line="276" w:lineRule="auto"/>
              <w:jc w:val="left"/>
              <w:rPr>
                <w:rFonts w:ascii="宋体" w:hAnsi="宋体"/>
                <w:sz w:val="24"/>
                <w:u w:val="single"/>
              </w:rPr>
            </w:pPr>
            <w:r>
              <w:rPr>
                <w:rFonts w:ascii="宋体" w:hAnsi="宋体"/>
                <w:sz w:val="24"/>
              </w:rPr>
              <w:t>成交候选人并列的，按照以下方式确定成交供应商：</w:t>
            </w:r>
            <w:r>
              <w:rPr>
                <w:rFonts w:hint="eastAsia" w:ascii="宋体" w:hAnsi="宋体"/>
                <w:sz w:val="24"/>
                <w:u w:val="single"/>
              </w:rPr>
              <w:t>评审得分相同的，按照报价由低到高的顺序推荐。评审得分相同且报价相同的，按照技术指标优劣顺序推荐。</w:t>
            </w:r>
          </w:p>
        </w:tc>
      </w:tr>
      <w:tr w14:paraId="4484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7B6E222">
            <w:pPr>
              <w:pStyle w:val="36"/>
              <w:adjustRightInd w:val="0"/>
              <w:snapToGrid w:val="0"/>
              <w:jc w:val="center"/>
              <w:rPr>
                <w:rFonts w:hint="default" w:hAnsi="宋体"/>
                <w:sz w:val="24"/>
                <w:szCs w:val="24"/>
              </w:rPr>
            </w:pPr>
            <w:r>
              <w:rPr>
                <w:rFonts w:hint="default" w:hAnsi="宋体"/>
                <w:sz w:val="24"/>
                <w:szCs w:val="24"/>
              </w:rPr>
              <w:t>23.5</w:t>
            </w:r>
          </w:p>
        </w:tc>
        <w:tc>
          <w:tcPr>
            <w:tcW w:w="1701" w:type="dxa"/>
            <w:vAlign w:val="center"/>
          </w:tcPr>
          <w:p w14:paraId="1E0E18A2">
            <w:pPr>
              <w:spacing w:line="276" w:lineRule="auto"/>
              <w:jc w:val="center"/>
              <w:rPr>
                <w:rFonts w:ascii="宋体" w:hAnsi="宋体"/>
                <w:sz w:val="24"/>
              </w:rPr>
            </w:pPr>
            <w:r>
              <w:rPr>
                <w:rFonts w:ascii="宋体" w:hAnsi="宋体"/>
                <w:sz w:val="24"/>
              </w:rPr>
              <w:t>分包</w:t>
            </w:r>
          </w:p>
        </w:tc>
        <w:tc>
          <w:tcPr>
            <w:tcW w:w="7253" w:type="dxa"/>
            <w:vAlign w:val="center"/>
          </w:tcPr>
          <w:p w14:paraId="1DD3B002">
            <w:pPr>
              <w:spacing w:line="276" w:lineRule="auto"/>
              <w:jc w:val="left"/>
              <w:rPr>
                <w:rFonts w:ascii="宋体" w:hAnsi="宋体"/>
                <w:sz w:val="24"/>
              </w:rPr>
            </w:pPr>
            <w:r>
              <w:rPr>
                <w:rFonts w:ascii="宋体" w:hAnsi="宋体"/>
                <w:sz w:val="24"/>
              </w:rPr>
              <w:t xml:space="preserve">本项目是否允许分包： </w:t>
            </w:r>
          </w:p>
          <w:p w14:paraId="5D13F632">
            <w:pPr>
              <w:spacing w:line="276" w:lineRule="auto"/>
              <w:jc w:val="left"/>
              <w:rPr>
                <w:rFonts w:ascii="宋体" w:hAnsi="宋体"/>
                <w:sz w:val="24"/>
              </w:rPr>
            </w:pPr>
            <w:r>
              <w:rPr>
                <w:rFonts w:ascii="宋体" w:hAnsi="宋体"/>
                <w:b/>
                <w:sz w:val="24"/>
              </w:rPr>
              <w:t>■</w:t>
            </w:r>
            <w:r>
              <w:rPr>
                <w:rFonts w:ascii="宋体" w:hAnsi="宋体"/>
                <w:sz w:val="24"/>
              </w:rPr>
              <w:t>不允许</w:t>
            </w:r>
          </w:p>
          <w:p w14:paraId="61D8C237">
            <w:pPr>
              <w:spacing w:line="276" w:lineRule="auto"/>
              <w:jc w:val="left"/>
              <w:rPr>
                <w:rFonts w:ascii="宋体" w:hAnsi="宋体"/>
                <w:sz w:val="24"/>
              </w:rPr>
            </w:pPr>
            <w:r>
              <w:rPr>
                <w:rFonts w:ascii="宋体" w:hAnsi="宋体"/>
              </w:rPr>
              <w:t>□</w:t>
            </w:r>
            <w:r>
              <w:rPr>
                <w:rFonts w:ascii="宋体" w:hAnsi="宋体"/>
                <w:sz w:val="24"/>
              </w:rPr>
              <w:t>允许，具体要求：</w:t>
            </w:r>
            <w:r>
              <w:rPr>
                <w:rFonts w:ascii="宋体" w:hAnsi="宋体"/>
                <w:sz w:val="24"/>
                <w:u w:val="single"/>
              </w:rPr>
              <w:t>/</w:t>
            </w:r>
            <w:r>
              <w:rPr>
                <w:rFonts w:ascii="宋体" w:hAnsi="宋体"/>
                <w:sz w:val="24"/>
              </w:rPr>
              <w:t>。</w:t>
            </w:r>
          </w:p>
          <w:p w14:paraId="539FA0F4">
            <w:pPr>
              <w:spacing w:line="276" w:lineRule="auto"/>
              <w:jc w:val="left"/>
              <w:rPr>
                <w:rFonts w:ascii="宋体" w:hAnsi="宋体"/>
                <w:sz w:val="24"/>
              </w:rPr>
            </w:pPr>
            <w:r>
              <w:rPr>
                <w:rFonts w:ascii="宋体" w:hAnsi="宋体"/>
                <w:sz w:val="24"/>
              </w:rPr>
              <w:t>（1）可以分包履行的具体内容：</w:t>
            </w:r>
            <w:r>
              <w:rPr>
                <w:rFonts w:ascii="宋体" w:hAnsi="宋体"/>
                <w:sz w:val="24"/>
                <w:u w:val="single"/>
              </w:rPr>
              <w:t>/</w:t>
            </w:r>
            <w:r>
              <w:rPr>
                <w:rFonts w:ascii="宋体" w:hAnsi="宋体"/>
                <w:sz w:val="24"/>
              </w:rPr>
              <w:t>；</w:t>
            </w:r>
          </w:p>
          <w:p w14:paraId="2DEE9CD7">
            <w:pPr>
              <w:spacing w:line="276" w:lineRule="auto"/>
              <w:jc w:val="left"/>
              <w:rPr>
                <w:rFonts w:ascii="宋体" w:hAnsi="宋体"/>
                <w:sz w:val="24"/>
              </w:rPr>
            </w:pPr>
            <w:r>
              <w:rPr>
                <w:rFonts w:ascii="宋体" w:hAnsi="宋体"/>
                <w:sz w:val="24"/>
              </w:rPr>
              <w:t>（2）允许分包的金额或者比例：</w:t>
            </w:r>
            <w:r>
              <w:rPr>
                <w:rFonts w:ascii="宋体" w:hAnsi="宋体"/>
                <w:sz w:val="24"/>
                <w:u w:val="single"/>
              </w:rPr>
              <w:t>/</w:t>
            </w:r>
            <w:r>
              <w:rPr>
                <w:rFonts w:ascii="宋体" w:hAnsi="宋体"/>
                <w:sz w:val="24"/>
              </w:rPr>
              <w:t>；</w:t>
            </w:r>
          </w:p>
          <w:p w14:paraId="3603A2AC">
            <w:pPr>
              <w:spacing w:line="276" w:lineRule="auto"/>
              <w:jc w:val="left"/>
              <w:rPr>
                <w:rFonts w:ascii="宋体" w:hAnsi="宋体"/>
                <w:sz w:val="24"/>
                <w:u w:val="single"/>
              </w:rPr>
            </w:pPr>
            <w:r>
              <w:rPr>
                <w:rFonts w:ascii="宋体" w:hAnsi="宋体"/>
                <w:sz w:val="24"/>
              </w:rPr>
              <w:t>（3）其他要求：</w:t>
            </w:r>
            <w:r>
              <w:rPr>
                <w:rFonts w:ascii="宋体" w:hAnsi="宋体"/>
                <w:sz w:val="24"/>
                <w:u w:val="single"/>
              </w:rPr>
              <w:t>/</w:t>
            </w:r>
            <w:r>
              <w:rPr>
                <w:rFonts w:ascii="宋体" w:hAnsi="宋体"/>
                <w:sz w:val="24"/>
              </w:rPr>
              <w:t>。</w:t>
            </w:r>
          </w:p>
        </w:tc>
      </w:tr>
      <w:tr w14:paraId="3A04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6FC9AF">
            <w:pPr>
              <w:pStyle w:val="36"/>
              <w:adjustRightInd w:val="0"/>
              <w:snapToGrid w:val="0"/>
              <w:jc w:val="center"/>
              <w:rPr>
                <w:rFonts w:hint="default" w:hAnsi="宋体"/>
                <w:sz w:val="24"/>
                <w:szCs w:val="24"/>
              </w:rPr>
            </w:pPr>
            <w:r>
              <w:rPr>
                <w:rFonts w:hint="default" w:hAnsi="宋体"/>
                <w:sz w:val="24"/>
                <w:szCs w:val="24"/>
              </w:rPr>
              <w:t>24.1.1</w:t>
            </w:r>
          </w:p>
        </w:tc>
        <w:tc>
          <w:tcPr>
            <w:tcW w:w="1701" w:type="dxa"/>
            <w:vAlign w:val="center"/>
          </w:tcPr>
          <w:p w14:paraId="0698F786">
            <w:pPr>
              <w:spacing w:line="276" w:lineRule="auto"/>
              <w:jc w:val="center"/>
              <w:rPr>
                <w:rFonts w:ascii="宋体" w:hAnsi="宋体"/>
                <w:sz w:val="24"/>
              </w:rPr>
            </w:pPr>
            <w:r>
              <w:rPr>
                <w:rFonts w:ascii="宋体" w:hAnsi="宋体"/>
                <w:sz w:val="24"/>
              </w:rPr>
              <w:t>询问</w:t>
            </w:r>
          </w:p>
        </w:tc>
        <w:tc>
          <w:tcPr>
            <w:tcW w:w="7253" w:type="dxa"/>
            <w:vAlign w:val="center"/>
          </w:tcPr>
          <w:p w14:paraId="355C84F4">
            <w:pPr>
              <w:spacing w:line="360" w:lineRule="auto"/>
              <w:jc w:val="left"/>
              <w:rPr>
                <w:rFonts w:ascii="宋体" w:hAnsi="宋体"/>
                <w:sz w:val="24"/>
              </w:rPr>
            </w:pPr>
            <w:r>
              <w:rPr>
                <w:rFonts w:ascii="宋体" w:hAnsi="宋体"/>
                <w:sz w:val="24"/>
              </w:rPr>
              <w:t>询问送达形式：</w:t>
            </w:r>
          </w:p>
          <w:p w14:paraId="3965641A">
            <w:pPr>
              <w:spacing w:line="360" w:lineRule="auto"/>
              <w:jc w:val="left"/>
              <w:rPr>
                <w:rFonts w:ascii="宋体" w:hAnsi="宋体"/>
                <w:sz w:val="24"/>
                <w:u w:val="single"/>
              </w:rPr>
            </w:pPr>
            <w:r>
              <w:rPr>
                <w:rFonts w:hint="eastAsia" w:ascii="宋体" w:hAnsi="宋体"/>
                <w:sz w:val="24"/>
                <w:u w:val="single"/>
              </w:rPr>
              <w:t>1.应按照《政府采购质疑和投诉办法》（财政部令第94号）规定执行。</w:t>
            </w:r>
          </w:p>
          <w:p w14:paraId="01BDFCA9">
            <w:pPr>
              <w:spacing w:line="360" w:lineRule="auto"/>
              <w:jc w:val="left"/>
              <w:rPr>
                <w:rFonts w:ascii="宋体" w:hAnsi="宋体"/>
                <w:sz w:val="24"/>
                <w:u w:val="single"/>
              </w:rPr>
            </w:pPr>
            <w:r>
              <w:rPr>
                <w:rFonts w:hint="eastAsia" w:ascii="宋体" w:hAnsi="宋体"/>
                <w:sz w:val="24"/>
                <w:u w:val="single"/>
              </w:rPr>
              <w:t>2.应以书面形式向招标采购单位提交询问函或质疑书（原件）并进行登记。询问函或质疑书应包括：(1)询问人/质疑人和被询问人/被质疑人的名称、地址、电话等；(2)具体事项及事实依据；(3)相关证明材料；(4)提起询问/质疑的日期。询问函或质疑书应当由法定代表人或授权人签字盖章并加盖单位公章，由授权人签字的需出具法定代表人授权书、身份证原件及身份证复印件加盖单位公章。</w:t>
            </w:r>
          </w:p>
          <w:p w14:paraId="7092903F">
            <w:pPr>
              <w:spacing w:line="360" w:lineRule="auto"/>
              <w:ind w:left="964" w:hanging="964"/>
              <w:jc w:val="left"/>
              <w:rPr>
                <w:rFonts w:ascii="宋体" w:hAnsi="宋体"/>
                <w:sz w:val="24"/>
                <w:u w:val="single"/>
              </w:rPr>
            </w:pPr>
            <w:r>
              <w:rPr>
                <w:rFonts w:hint="eastAsia" w:ascii="宋体" w:hAnsi="宋体"/>
                <w:sz w:val="24"/>
                <w:u w:val="single"/>
              </w:rPr>
              <w:t>备注：</w:t>
            </w:r>
          </w:p>
          <w:p w14:paraId="41B4AB36">
            <w:pPr>
              <w:spacing w:line="360" w:lineRule="auto"/>
              <w:ind w:left="964" w:hanging="964"/>
              <w:jc w:val="left"/>
              <w:rPr>
                <w:rFonts w:ascii="宋体" w:hAnsi="宋体"/>
                <w:sz w:val="24"/>
                <w:u w:val="single"/>
              </w:rPr>
            </w:pPr>
            <w:r>
              <w:rPr>
                <w:rFonts w:hint="eastAsia" w:ascii="宋体" w:hAnsi="宋体"/>
                <w:sz w:val="24"/>
                <w:u w:val="single"/>
              </w:rPr>
              <w:t>1.供应商有向同级财政部门投诉的权利；</w:t>
            </w:r>
          </w:p>
          <w:p w14:paraId="4B191DCB">
            <w:pPr>
              <w:spacing w:line="360" w:lineRule="auto"/>
              <w:jc w:val="left"/>
              <w:rPr>
                <w:rFonts w:ascii="宋体" w:hAnsi="宋体"/>
                <w:sz w:val="24"/>
                <w:u w:val="single"/>
              </w:rPr>
            </w:pPr>
            <w:r>
              <w:rPr>
                <w:rFonts w:hint="eastAsia" w:ascii="宋体" w:hAnsi="宋体"/>
                <w:sz w:val="24"/>
                <w:u w:val="single"/>
              </w:rPr>
              <w:t>2.投诉人在全国范围12个月内三次以上投诉查无实据的，由财政部门列入不良行为记录名单；</w:t>
            </w:r>
          </w:p>
          <w:p w14:paraId="1D98D328">
            <w:pPr>
              <w:spacing w:line="360" w:lineRule="auto"/>
              <w:jc w:val="left"/>
              <w:rPr>
                <w:rFonts w:ascii="宋体" w:hAnsi="宋体"/>
                <w:sz w:val="24"/>
                <w:u w:val="single"/>
              </w:rPr>
            </w:pPr>
            <w:r>
              <w:rPr>
                <w:rFonts w:hint="eastAsia" w:ascii="宋体" w:hAnsi="宋体"/>
                <w:sz w:val="24"/>
                <w:u w:val="single"/>
              </w:rPr>
              <w:t>3.投诉人属于虚假、恶意投诉，由财政部门列入不良行为记录名单，禁止其1至3年内参加政府采购活动；</w:t>
            </w:r>
          </w:p>
          <w:p w14:paraId="0AE97A47">
            <w:pPr>
              <w:spacing w:line="276" w:lineRule="auto"/>
              <w:jc w:val="left"/>
              <w:rPr>
                <w:rFonts w:ascii="宋体" w:hAnsi="宋体"/>
                <w:sz w:val="24"/>
              </w:rPr>
            </w:pPr>
            <w:r>
              <w:rPr>
                <w:rFonts w:hint="eastAsia" w:ascii="宋体" w:hAnsi="宋体"/>
                <w:sz w:val="24"/>
                <w:u w:val="single"/>
              </w:rPr>
              <w:t>4.根据《中华人民共和国政府采购法实施条例》的规定，供应商投诉事项不得超出已质疑事项的范围。</w:t>
            </w:r>
          </w:p>
        </w:tc>
      </w:tr>
      <w:tr w14:paraId="1EB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988" w:type="dxa"/>
            <w:vAlign w:val="center"/>
          </w:tcPr>
          <w:p w14:paraId="625F90E6">
            <w:pPr>
              <w:pStyle w:val="36"/>
              <w:adjustRightInd w:val="0"/>
              <w:snapToGrid w:val="0"/>
              <w:jc w:val="center"/>
              <w:rPr>
                <w:rFonts w:hint="default" w:hAnsi="宋体"/>
                <w:sz w:val="24"/>
                <w:szCs w:val="24"/>
              </w:rPr>
            </w:pPr>
            <w:r>
              <w:rPr>
                <w:rFonts w:hint="default" w:hAnsi="宋体"/>
                <w:sz w:val="24"/>
                <w:szCs w:val="24"/>
              </w:rPr>
              <w:t>24.3</w:t>
            </w:r>
          </w:p>
        </w:tc>
        <w:tc>
          <w:tcPr>
            <w:tcW w:w="1701" w:type="dxa"/>
            <w:vAlign w:val="center"/>
          </w:tcPr>
          <w:p w14:paraId="0746A2AC">
            <w:pPr>
              <w:spacing w:line="276" w:lineRule="auto"/>
              <w:jc w:val="center"/>
              <w:rPr>
                <w:rFonts w:ascii="宋体" w:hAnsi="宋体"/>
                <w:sz w:val="24"/>
              </w:rPr>
            </w:pPr>
            <w:r>
              <w:rPr>
                <w:rFonts w:ascii="宋体" w:hAnsi="宋体"/>
                <w:sz w:val="24"/>
              </w:rPr>
              <w:t>联系方式</w:t>
            </w:r>
          </w:p>
        </w:tc>
        <w:tc>
          <w:tcPr>
            <w:tcW w:w="7253" w:type="dxa"/>
            <w:vAlign w:val="center"/>
          </w:tcPr>
          <w:p w14:paraId="3BDB4F2A">
            <w:pPr>
              <w:spacing w:line="360" w:lineRule="auto"/>
              <w:jc w:val="left"/>
              <w:rPr>
                <w:rFonts w:ascii="宋体" w:hAnsi="宋体" w:cs="宋体"/>
                <w:sz w:val="24"/>
              </w:rPr>
            </w:pPr>
            <w:r>
              <w:rPr>
                <w:rFonts w:hint="eastAsia" w:ascii="宋体" w:hAnsi="宋体" w:cs="宋体"/>
                <w:sz w:val="24"/>
              </w:rPr>
              <w:t>接收询问和质疑的联系方式</w:t>
            </w:r>
          </w:p>
          <w:p w14:paraId="6778DE50">
            <w:pPr>
              <w:spacing w:line="360" w:lineRule="auto"/>
              <w:jc w:val="left"/>
              <w:rPr>
                <w:rFonts w:ascii="宋体" w:hAnsi="宋体" w:cs="宋体"/>
                <w:sz w:val="24"/>
              </w:rPr>
            </w:pPr>
            <w:r>
              <w:rPr>
                <w:rFonts w:hint="eastAsia" w:ascii="宋体" w:hAnsi="宋体" w:cs="宋体"/>
                <w:sz w:val="24"/>
              </w:rPr>
              <w:t>联系部门：中国科学院软件研究所园区管理中心；</w:t>
            </w:r>
          </w:p>
          <w:p w14:paraId="22F59E06">
            <w:pPr>
              <w:spacing w:line="360" w:lineRule="auto"/>
              <w:jc w:val="left"/>
              <w:rPr>
                <w:rFonts w:ascii="宋体" w:hAnsi="宋体" w:cs="宋体"/>
                <w:sz w:val="24"/>
              </w:rPr>
            </w:pPr>
            <w:r>
              <w:rPr>
                <w:rFonts w:hint="eastAsia" w:ascii="宋体" w:hAnsi="宋体" w:cs="宋体"/>
                <w:sz w:val="24"/>
              </w:rPr>
              <w:t>联系电话：6</w:t>
            </w:r>
            <w:r>
              <w:rPr>
                <w:rFonts w:ascii="宋体" w:hAnsi="宋体" w:cs="宋体"/>
                <w:sz w:val="24"/>
              </w:rPr>
              <w:t>2661045</w:t>
            </w:r>
            <w:r>
              <w:rPr>
                <w:rFonts w:hint="eastAsia" w:ascii="宋体" w:hAnsi="宋体" w:cs="宋体"/>
                <w:sz w:val="24"/>
              </w:rPr>
              <w:t>；</w:t>
            </w:r>
          </w:p>
          <w:p w14:paraId="43BC026E">
            <w:pPr>
              <w:spacing w:line="276" w:lineRule="auto"/>
              <w:jc w:val="left"/>
              <w:rPr>
                <w:rFonts w:ascii="宋体" w:hAnsi="宋体"/>
                <w:sz w:val="24"/>
              </w:rPr>
            </w:pPr>
            <w:r>
              <w:rPr>
                <w:rFonts w:hint="eastAsia" w:ascii="宋体" w:hAnsi="宋体" w:cs="宋体"/>
                <w:sz w:val="24"/>
              </w:rPr>
              <w:t>通讯地址：北京市海淀区中关村南四街4号。</w:t>
            </w:r>
          </w:p>
        </w:tc>
      </w:tr>
      <w:tr w14:paraId="2BA4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B2774D">
            <w:pPr>
              <w:pStyle w:val="36"/>
              <w:adjustRightInd w:val="0"/>
              <w:snapToGrid w:val="0"/>
              <w:spacing w:line="360" w:lineRule="auto"/>
              <w:jc w:val="center"/>
              <w:rPr>
                <w:rFonts w:hint="default" w:hAnsi="宋体"/>
                <w:b/>
                <w:bCs/>
                <w:sz w:val="24"/>
                <w:szCs w:val="24"/>
              </w:rPr>
            </w:pPr>
          </w:p>
        </w:tc>
        <w:tc>
          <w:tcPr>
            <w:tcW w:w="1701" w:type="dxa"/>
            <w:vAlign w:val="center"/>
          </w:tcPr>
          <w:p w14:paraId="26978770">
            <w:pPr>
              <w:spacing w:line="360" w:lineRule="auto"/>
              <w:jc w:val="center"/>
              <w:rPr>
                <w:rFonts w:ascii="宋体" w:hAnsi="宋体" w:cs="宋体"/>
                <w:sz w:val="24"/>
              </w:rPr>
            </w:pPr>
            <w:r>
              <w:rPr>
                <w:rFonts w:hint="eastAsia" w:ascii="宋体" w:hAnsi="宋体" w:cs="宋体"/>
                <w:b/>
                <w:bCs/>
                <w:sz w:val="24"/>
              </w:rPr>
              <w:t>补充条款</w:t>
            </w:r>
          </w:p>
        </w:tc>
        <w:tc>
          <w:tcPr>
            <w:tcW w:w="7253" w:type="dxa"/>
            <w:vAlign w:val="center"/>
          </w:tcPr>
          <w:p w14:paraId="1E338B96">
            <w:pPr>
              <w:pStyle w:val="2"/>
              <w:numPr>
                <w:ilvl w:val="0"/>
                <w:numId w:val="14"/>
              </w:numPr>
              <w:spacing w:line="400" w:lineRule="exact"/>
              <w:ind w:left="0" w:firstLine="0"/>
              <w:rPr>
                <w:rFonts w:hAnsi="宋体"/>
                <w:szCs w:val="24"/>
              </w:rPr>
            </w:pPr>
            <w:r>
              <w:rPr>
                <w:rFonts w:hint="eastAsia" w:hAnsi="宋体"/>
                <w:szCs w:val="24"/>
              </w:rPr>
              <w:t>磋商代表应于磋商会议当天手持本人身份证原件复印件、其任意一个月</w:t>
            </w:r>
            <w:r>
              <w:rPr>
                <w:rFonts w:hAnsi="宋体"/>
                <w:szCs w:val="24"/>
              </w:rPr>
              <w:t>（投标截止时间前半年内）</w:t>
            </w:r>
            <w:r>
              <w:rPr>
                <w:rFonts w:hint="eastAsia" w:hAnsi="宋体"/>
                <w:szCs w:val="24"/>
              </w:rPr>
              <w:t>在本单位的社保缴纳证明、加盖公章和法定代表人授权委托书或法定代表人身份证明参加磋商。以上资料均需加盖单位公章）</w:t>
            </w:r>
          </w:p>
          <w:p w14:paraId="6E500F87">
            <w:pPr>
              <w:pStyle w:val="2"/>
              <w:numPr>
                <w:ilvl w:val="0"/>
                <w:numId w:val="14"/>
              </w:numPr>
              <w:spacing w:line="400" w:lineRule="exact"/>
              <w:ind w:left="0" w:firstLine="0"/>
              <w:rPr>
                <w:rFonts w:hAnsi="宋体"/>
                <w:szCs w:val="24"/>
              </w:rPr>
            </w:pPr>
            <w:r>
              <w:rPr>
                <w:rFonts w:hint="eastAsia" w:hAnsi="宋体"/>
                <w:szCs w:val="24"/>
              </w:rPr>
              <w:t>本项目提倡节能环保、建议供应商响应文件正本、副本，均双面打印。</w:t>
            </w:r>
          </w:p>
          <w:p w14:paraId="3A7EC04D">
            <w:pPr>
              <w:pStyle w:val="2"/>
              <w:numPr>
                <w:ilvl w:val="0"/>
                <w:numId w:val="14"/>
              </w:numPr>
              <w:spacing w:line="400" w:lineRule="exact"/>
              <w:ind w:left="0" w:firstLine="0"/>
              <w:rPr>
                <w:rFonts w:hAnsi="宋体"/>
                <w:szCs w:val="24"/>
              </w:rPr>
            </w:pPr>
            <w:r>
              <w:t>本项目招标控制价为:847708.07元。供应商应有明确报价，超过招标控制价的，投标报价无效。</w:t>
            </w:r>
            <w:r>
              <w:br w:type="textWrapping"/>
            </w:r>
            <w:r>
              <w:t>其中：分部分项工程合价为: 653117.44 元；</w:t>
            </w:r>
            <w:r>
              <w:br w:type="textWrapping"/>
            </w:r>
            <w:r>
              <w:t>措施项目合价为: 78724.83元；</w:t>
            </w:r>
            <w:r>
              <w:br w:type="textWrapping"/>
            </w:r>
            <w:r>
              <w:t>其他项目合价为: 45871.56元；</w:t>
            </w:r>
            <w:r>
              <w:br w:type="textWrapping"/>
            </w:r>
            <w:r>
              <w:t>税金合价为: 69994.24 元。</w:t>
            </w:r>
            <w:r>
              <w:br w:type="textWrapping"/>
            </w:r>
            <w:r>
              <w:t>其他说明：专业工程暂估价（含税）合计金额：0 元。</w:t>
            </w:r>
            <w:r>
              <w:br w:type="textWrapping"/>
            </w:r>
            <w:r>
              <w:t>材料和工程设备暂估价（含税）合计金额： 0元。</w:t>
            </w:r>
            <w:r>
              <w:br w:type="textWrapping"/>
            </w:r>
            <w:r>
              <w:t>暂列金额（不含计日工）（含税）合计金额：50000.00 元。</w:t>
            </w:r>
            <w:r>
              <w:br w:type="textWrapping"/>
            </w:r>
            <w:r>
              <w:t>安全文明施工费（含税）合计金额：47894.26元。</w:t>
            </w:r>
            <w:r>
              <w:br w:type="textWrapping"/>
            </w:r>
            <w:r>
              <w:t>赶工增加费（含税）合计金额（如有）：0 元。</w:t>
            </w:r>
          </w:p>
        </w:tc>
      </w:tr>
    </w:tbl>
    <w:p w14:paraId="50FC2B62">
      <w:pPr>
        <w:tabs>
          <w:tab w:val="left" w:pos="5580"/>
        </w:tabs>
        <w:adjustRightInd w:val="0"/>
        <w:spacing w:line="360" w:lineRule="auto"/>
        <w:jc w:val="distribute"/>
        <w:rPr>
          <w:rFonts w:ascii="宋体" w:hAnsi="宋体"/>
          <w:sz w:val="24"/>
        </w:rPr>
        <w:sectPr>
          <w:headerReference r:id="rId10" w:type="first"/>
          <w:footerReference r:id="rId12" w:type="first"/>
          <w:headerReference r:id="rId8" w:type="default"/>
          <w:footerReference r:id="rId11" w:type="default"/>
          <w:headerReference r:id="rId9" w:type="even"/>
          <w:pgSz w:w="11907" w:h="16840"/>
          <w:pgMar w:top="1418" w:right="1134" w:bottom="1418" w:left="1701" w:header="851" w:footer="851" w:gutter="0"/>
          <w:cols w:space="720" w:num="1"/>
          <w:titlePg/>
          <w:docGrid w:linePitch="462" w:charSpace="0"/>
        </w:sectPr>
      </w:pPr>
    </w:p>
    <w:p w14:paraId="751930C1">
      <w:pPr>
        <w:spacing w:before="240" w:beforeLines="100" w:after="240" w:afterLines="100"/>
        <w:jc w:val="center"/>
        <w:rPr>
          <w:rFonts w:ascii="宋体" w:hAnsi="宋体"/>
          <w:b/>
          <w:sz w:val="28"/>
          <w:szCs w:val="28"/>
        </w:rPr>
      </w:pPr>
      <w:r>
        <w:rPr>
          <w:rFonts w:ascii="宋体" w:hAnsi="宋体"/>
          <w:b/>
          <w:sz w:val="28"/>
          <w:szCs w:val="28"/>
        </w:rPr>
        <w:t>供应商须知</w:t>
      </w:r>
    </w:p>
    <w:p w14:paraId="62705A5E">
      <w:pPr>
        <w:pStyle w:val="4"/>
        <w:tabs>
          <w:tab w:val="center" w:pos="4592"/>
          <w:tab w:val="left" w:pos="7860"/>
        </w:tabs>
        <w:spacing w:before="0" w:line="360" w:lineRule="auto"/>
        <w:jc w:val="left"/>
        <w:rPr>
          <w:rFonts w:ascii="宋体" w:hAnsi="宋体" w:eastAsia="宋体"/>
          <w:sz w:val="28"/>
        </w:rPr>
      </w:pPr>
      <w:bookmarkStart w:id="89" w:name="_Toc127151518"/>
      <w:bookmarkStart w:id="90" w:name="_Toc520356143"/>
      <w:r>
        <w:rPr>
          <w:rFonts w:ascii="宋体" w:hAnsi="宋体" w:eastAsia="宋体"/>
          <w:sz w:val="28"/>
        </w:rPr>
        <w:tab/>
      </w:r>
      <w:bookmarkStart w:id="91" w:name="_Toc150774723"/>
      <w:bookmarkStart w:id="92" w:name="_Toc265228356"/>
      <w:bookmarkStart w:id="93" w:name="_Toc151193906"/>
      <w:bookmarkStart w:id="94" w:name="_Toc151193688"/>
      <w:bookmarkStart w:id="95" w:name="_Toc142311020"/>
      <w:bookmarkStart w:id="96" w:name="_Toc226965708"/>
      <w:bookmarkStart w:id="97" w:name="_Toc264969208"/>
      <w:bookmarkStart w:id="98" w:name="_Toc226337214"/>
      <w:bookmarkStart w:id="99" w:name="_Toc151193616"/>
      <w:bookmarkStart w:id="100" w:name="_Toc150509269"/>
      <w:bookmarkStart w:id="101" w:name="_Toc226965791"/>
      <w:bookmarkStart w:id="102" w:name="_Toc150774618"/>
      <w:bookmarkStart w:id="103" w:name="_Toc151193760"/>
      <w:bookmarkStart w:id="104" w:name="_Toc305158860"/>
      <w:bookmarkStart w:id="105" w:name="_Toc151190145"/>
      <w:bookmarkStart w:id="106" w:name="_Toc305158786"/>
      <w:bookmarkStart w:id="107" w:name="_Toc226309762"/>
      <w:bookmarkStart w:id="108" w:name="_Toc150480756"/>
      <w:bookmarkStart w:id="109" w:name="_Toc195842883"/>
      <w:bookmarkStart w:id="110" w:name="_Toc151193832"/>
      <w:r>
        <w:rPr>
          <w:rFonts w:ascii="宋体" w:hAnsi="宋体" w:eastAsia="宋体"/>
          <w:sz w:val="28"/>
        </w:rPr>
        <w:t>一   说  明</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宋体" w:hAnsi="宋体" w:eastAsia="宋体"/>
          <w:sz w:val="28"/>
        </w:rPr>
        <w:tab/>
      </w:r>
    </w:p>
    <w:p w14:paraId="0B47A48A">
      <w:pPr>
        <w:numPr>
          <w:ilvl w:val="0"/>
          <w:numId w:val="15"/>
        </w:numPr>
        <w:tabs>
          <w:tab w:val="left" w:pos="360"/>
          <w:tab w:val="clear" w:pos="900"/>
        </w:tabs>
        <w:snapToGrid w:val="0"/>
        <w:spacing w:line="360" w:lineRule="auto"/>
        <w:ind w:left="357" w:hanging="357"/>
        <w:outlineLvl w:val="1"/>
        <w:rPr>
          <w:rFonts w:ascii="宋体" w:hAnsi="宋体"/>
          <w:sz w:val="24"/>
        </w:rPr>
      </w:pPr>
      <w:bookmarkStart w:id="111" w:name="_Toc305158787"/>
      <w:bookmarkStart w:id="112" w:name="_Toc305158861"/>
      <w:bookmarkStart w:id="113" w:name="_Toc265228357"/>
      <w:bookmarkStart w:id="114" w:name="_Toc264969209"/>
      <w:r>
        <w:rPr>
          <w:rFonts w:ascii="宋体" w:hAnsi="宋体"/>
          <w:sz w:val="24"/>
        </w:rPr>
        <w:t>采购人、采购代理机构、供应商</w:t>
      </w:r>
      <w:bookmarkEnd w:id="111"/>
      <w:bookmarkEnd w:id="112"/>
      <w:bookmarkEnd w:id="113"/>
      <w:bookmarkEnd w:id="114"/>
      <w:r>
        <w:rPr>
          <w:rFonts w:ascii="宋体" w:hAnsi="宋体"/>
          <w:sz w:val="24"/>
        </w:rPr>
        <w:t>、联合体</w:t>
      </w:r>
    </w:p>
    <w:p w14:paraId="567FF42F">
      <w:pPr>
        <w:numPr>
          <w:ilvl w:val="1"/>
          <w:numId w:val="15"/>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05C795CE">
      <w:pPr>
        <w:numPr>
          <w:ilvl w:val="1"/>
          <w:numId w:val="15"/>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供应商（也称“申请人”）：指向采购人提供货物、工程或者服务的法人、其他组织或者自然人。</w:t>
      </w:r>
    </w:p>
    <w:p w14:paraId="54CAB46F">
      <w:pPr>
        <w:numPr>
          <w:ilvl w:val="1"/>
          <w:numId w:val="15"/>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联合体：指两个以上的自然人、法人或者其他组织组成一个联合体，以一个供应商的身份共同参加政府采购。</w:t>
      </w:r>
    </w:p>
    <w:p w14:paraId="7F78F3CA">
      <w:pPr>
        <w:numPr>
          <w:ilvl w:val="0"/>
          <w:numId w:val="15"/>
        </w:numPr>
        <w:tabs>
          <w:tab w:val="left" w:pos="360"/>
          <w:tab w:val="clear" w:pos="900"/>
        </w:tabs>
        <w:snapToGrid w:val="0"/>
        <w:spacing w:line="360" w:lineRule="auto"/>
        <w:ind w:left="357" w:hanging="357"/>
        <w:outlineLvl w:val="1"/>
        <w:rPr>
          <w:rFonts w:ascii="宋体" w:hAnsi="宋体"/>
          <w:sz w:val="24"/>
        </w:rPr>
      </w:pPr>
      <w:bookmarkStart w:id="115" w:name="_Toc149720813"/>
      <w:bookmarkStart w:id="116" w:name="_Toc226337216"/>
      <w:bookmarkStart w:id="117" w:name="_Toc150509271"/>
      <w:bookmarkStart w:id="118" w:name="_Toc195842885"/>
      <w:bookmarkStart w:id="119" w:name="_Toc164608789"/>
      <w:bookmarkStart w:id="120" w:name="_Toc226309764"/>
      <w:bookmarkStart w:id="121" w:name="_Toc151193618"/>
      <w:bookmarkStart w:id="122" w:name="_Toc151193690"/>
      <w:bookmarkStart w:id="123" w:name="_Toc226965793"/>
      <w:bookmarkStart w:id="124" w:name="_Toc150774620"/>
      <w:bookmarkStart w:id="125" w:name="_Toc151193762"/>
      <w:bookmarkStart w:id="126" w:name="_Toc150480758"/>
      <w:bookmarkStart w:id="127" w:name="_Toc127151721"/>
      <w:bookmarkStart w:id="128" w:name="_Toc127161434"/>
      <w:bookmarkStart w:id="129" w:name="_Toc151193834"/>
      <w:bookmarkStart w:id="130" w:name="_Toc151193908"/>
      <w:bookmarkStart w:id="131" w:name="_Toc127151520"/>
      <w:bookmarkStart w:id="132" w:name="_Toc164229215"/>
      <w:bookmarkStart w:id="133" w:name="_Toc264969210"/>
      <w:bookmarkStart w:id="134" w:name="_Toc305158788"/>
      <w:bookmarkStart w:id="135" w:name="_Toc164351614"/>
      <w:bookmarkStart w:id="136" w:name="_Toc164608634"/>
      <w:bookmarkStart w:id="137" w:name="_Toc226965710"/>
      <w:bookmarkStart w:id="138" w:name="_Toc164229361"/>
      <w:bookmarkStart w:id="139" w:name="_Toc151190147"/>
      <w:bookmarkStart w:id="140" w:name="_Toc305158862"/>
      <w:bookmarkStart w:id="141" w:name="_Toc265228358"/>
      <w:bookmarkStart w:id="142" w:name="_Toc150774725"/>
      <w:bookmarkStart w:id="143" w:name="_Toc142311022"/>
      <w:r>
        <w:rPr>
          <w:rFonts w:ascii="宋体" w:hAnsi="宋体"/>
          <w:sz w:val="24"/>
        </w:rPr>
        <w:t>资金来源</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宋体" w:hAnsi="宋体"/>
          <w:sz w:val="24"/>
        </w:rPr>
        <w:t>、项目属性、科研仪器设备采购</w:t>
      </w:r>
    </w:p>
    <w:p w14:paraId="5E2D9B0B">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资金来源为财政性资金和/或本项目采购中无法与财政性资金分割的非财政性资金。</w:t>
      </w:r>
    </w:p>
    <w:p w14:paraId="16A1EF35">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项目属性见《供应商须知资料表》。</w:t>
      </w:r>
    </w:p>
    <w:p w14:paraId="5D62818B">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是否属于科研仪器设备采购见《供应商须知资料表》。</w:t>
      </w:r>
    </w:p>
    <w:p w14:paraId="2710A1AA">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现场考察、磋商前答疑会</w:t>
      </w:r>
    </w:p>
    <w:p w14:paraId="4416CD60">
      <w:pPr>
        <w:numPr>
          <w:ilvl w:val="1"/>
          <w:numId w:val="15"/>
        </w:numPr>
        <w:tabs>
          <w:tab w:val="left" w:pos="1080"/>
          <w:tab w:val="left" w:pos="1589"/>
          <w:tab w:val="left" w:pos="2014"/>
        </w:tabs>
        <w:snapToGrid w:val="0"/>
        <w:spacing w:line="360" w:lineRule="auto"/>
        <w:ind w:left="1080" w:hanging="720"/>
        <w:rPr>
          <w:rFonts w:ascii="宋体" w:hAnsi="宋体"/>
          <w:sz w:val="28"/>
        </w:rPr>
      </w:pPr>
      <w:r>
        <w:rPr>
          <w:rFonts w:ascii="宋体" w:hAnsi="宋体"/>
          <w:sz w:val="24"/>
        </w:rPr>
        <w:t>若《供应商须知资料表》中规定了组织现场考察、召开磋商前答疑会，则供应商应按要求在规定的时间和地点参加。</w:t>
      </w:r>
      <w:bookmarkStart w:id="144" w:name="_Toc142311024"/>
      <w:bookmarkStart w:id="145" w:name="_Toc151193836"/>
      <w:bookmarkStart w:id="146" w:name="_Toc150774622"/>
      <w:bookmarkStart w:id="147" w:name="_Toc264969212"/>
      <w:bookmarkStart w:id="148" w:name="_Toc195842887"/>
      <w:bookmarkStart w:id="149" w:name="_Toc151193620"/>
      <w:bookmarkStart w:id="150" w:name="_Toc265228360"/>
      <w:bookmarkStart w:id="151" w:name="_Toc520356146"/>
      <w:bookmarkStart w:id="152" w:name="_Toc226337218"/>
      <w:bookmarkStart w:id="153" w:name="_Toc151190149"/>
      <w:bookmarkStart w:id="154" w:name="_Toc150509273"/>
      <w:bookmarkStart w:id="155" w:name="_Toc151193910"/>
      <w:bookmarkStart w:id="156" w:name="_Toc127151522"/>
      <w:bookmarkStart w:id="157" w:name="_Toc151193764"/>
      <w:bookmarkStart w:id="158" w:name="_Toc226965795"/>
      <w:bookmarkStart w:id="159" w:name="_Toc151193692"/>
      <w:bookmarkStart w:id="160" w:name="_Toc226309766"/>
      <w:bookmarkStart w:id="161" w:name="_Toc150480760"/>
      <w:bookmarkStart w:id="162" w:name="_Toc150774727"/>
      <w:bookmarkStart w:id="163" w:name="_Toc305158790"/>
      <w:bookmarkStart w:id="164" w:name="_Toc305158864"/>
      <w:bookmarkStart w:id="165" w:name="_Toc226965712"/>
    </w:p>
    <w:p w14:paraId="39D1B4D1">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3D1280B4">
      <w:pPr>
        <w:numPr>
          <w:ilvl w:val="0"/>
          <w:numId w:val="15"/>
        </w:numPr>
        <w:tabs>
          <w:tab w:val="left" w:pos="360"/>
          <w:tab w:val="clear" w:pos="90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09E05DE0">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进口产品</w:t>
      </w:r>
    </w:p>
    <w:p w14:paraId="7F7DFDBD">
      <w:pPr>
        <w:numPr>
          <w:ilvl w:val="2"/>
          <w:numId w:val="15"/>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F7C31AD">
      <w:pPr>
        <w:numPr>
          <w:ilvl w:val="2"/>
          <w:numId w:val="15"/>
        </w:numPr>
        <w:tabs>
          <w:tab w:val="left" w:pos="2014"/>
        </w:tabs>
        <w:snapToGrid w:val="0"/>
        <w:spacing w:line="360" w:lineRule="auto"/>
        <w:rPr>
          <w:rFonts w:ascii="宋体" w:hAnsi="宋体"/>
          <w:sz w:val="24"/>
        </w:rPr>
      </w:pPr>
      <w:r>
        <w:rPr>
          <w:rFonts w:ascii="宋体" w:hAnsi="宋体"/>
          <w:sz w:val="24"/>
        </w:rPr>
        <w:t>本项目是否接受进口产品见第四章《采购需求》。</w:t>
      </w:r>
    </w:p>
    <w:p w14:paraId="7A8A709E">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2C0F5523">
      <w:pPr>
        <w:numPr>
          <w:ilvl w:val="2"/>
          <w:numId w:val="15"/>
        </w:numPr>
        <w:snapToGrid w:val="0"/>
        <w:spacing w:line="360" w:lineRule="auto"/>
        <w:rPr>
          <w:rFonts w:ascii="宋体" w:hAnsi="宋体"/>
          <w:sz w:val="24"/>
        </w:rPr>
      </w:pPr>
      <w:r>
        <w:rPr>
          <w:rFonts w:ascii="宋体" w:hAnsi="宋体"/>
          <w:sz w:val="24"/>
        </w:rPr>
        <w:t>中小企业定义：</w:t>
      </w:r>
    </w:p>
    <w:p w14:paraId="6341DD61">
      <w:pPr>
        <w:tabs>
          <w:tab w:val="left" w:pos="1980"/>
          <w:tab w:val="left" w:pos="2035"/>
          <w:tab w:val="left" w:pos="2885"/>
          <w:tab w:val="left" w:pos="2977"/>
          <w:tab w:val="left" w:pos="3878"/>
        </w:tabs>
        <w:snapToGrid w:val="0"/>
        <w:spacing w:line="360" w:lineRule="auto"/>
        <w:ind w:left="2885"/>
        <w:rPr>
          <w:rFonts w:ascii="宋体" w:hAnsi="宋体"/>
          <w:sz w:val="24"/>
        </w:rPr>
      </w:pPr>
      <w:r>
        <w:rPr>
          <w:rFonts w:hint="eastAsia" w:ascii="宋体" w:hAnsi="宋体"/>
          <w:sz w:val="24"/>
        </w:rPr>
        <w:t>4</w:t>
      </w:r>
      <w:r>
        <w:rPr>
          <w:rFonts w:ascii="宋体" w:hAnsi="宋体"/>
          <w:sz w:val="24"/>
        </w:rPr>
        <w:t>.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70D6BEE2">
      <w:pPr>
        <w:tabs>
          <w:tab w:val="left" w:pos="900"/>
          <w:tab w:val="left" w:pos="1980"/>
          <w:tab w:val="left" w:pos="2035"/>
          <w:tab w:val="left" w:pos="2885"/>
          <w:tab w:val="left" w:pos="2977"/>
          <w:tab w:val="left" w:pos="3878"/>
        </w:tabs>
        <w:snapToGrid w:val="0"/>
        <w:spacing w:line="360" w:lineRule="auto"/>
        <w:ind w:left="2978"/>
        <w:rPr>
          <w:rFonts w:ascii="宋体" w:hAnsi="宋体"/>
          <w:sz w:val="24"/>
        </w:rPr>
      </w:pPr>
      <w:r>
        <w:rPr>
          <w:rFonts w:hint="eastAsia" w:ascii="宋体" w:hAnsi="宋体"/>
          <w:sz w:val="24"/>
        </w:rPr>
        <w:t>4</w:t>
      </w:r>
      <w:r>
        <w:rPr>
          <w:rFonts w:ascii="宋体" w:hAnsi="宋体"/>
          <w:sz w:val="24"/>
        </w:rPr>
        <w:t>.2.1.2供应商提供的货物、工程或者服务符合下列情形的，享受中小企业扶持政策：</w:t>
      </w:r>
    </w:p>
    <w:p w14:paraId="7965CC79">
      <w:pPr>
        <w:tabs>
          <w:tab w:val="left" w:pos="1980"/>
        </w:tabs>
        <w:snapToGrid w:val="0"/>
        <w:spacing w:line="360" w:lineRule="auto"/>
        <w:ind w:left="2835" w:leftChars="1350"/>
        <w:rPr>
          <w:rFonts w:ascii="宋体" w:hAnsi="宋体"/>
          <w:sz w:val="24"/>
        </w:rPr>
      </w:pPr>
      <w:r>
        <w:rPr>
          <w:rFonts w:ascii="宋体" w:hAnsi="宋体"/>
          <w:sz w:val="24"/>
        </w:rPr>
        <w:t>（1）在货物采购项目中，货物由中小企业制造，即货物由中小企业生产且使用该中小企业商号或者注册商标；</w:t>
      </w:r>
    </w:p>
    <w:p w14:paraId="51623F35">
      <w:pPr>
        <w:tabs>
          <w:tab w:val="left" w:pos="1980"/>
        </w:tabs>
        <w:snapToGrid w:val="0"/>
        <w:spacing w:line="360" w:lineRule="auto"/>
        <w:ind w:left="2835" w:leftChars="1350"/>
        <w:rPr>
          <w:rFonts w:ascii="宋体" w:hAnsi="宋体"/>
          <w:sz w:val="24"/>
        </w:rPr>
      </w:pPr>
      <w:r>
        <w:rPr>
          <w:rFonts w:ascii="宋体" w:hAnsi="宋体"/>
          <w:sz w:val="24"/>
        </w:rPr>
        <w:t>（2）在工程采购项目中，工程由中小企业承建，即工程施工单位为中小企业；</w:t>
      </w:r>
    </w:p>
    <w:p w14:paraId="411FBAD5">
      <w:pPr>
        <w:tabs>
          <w:tab w:val="left" w:pos="1980"/>
        </w:tabs>
        <w:snapToGrid w:val="0"/>
        <w:spacing w:line="360" w:lineRule="auto"/>
        <w:ind w:left="2835" w:leftChars="1350"/>
        <w:rPr>
          <w:rFonts w:ascii="宋体" w:hAnsi="宋体"/>
          <w:sz w:val="24"/>
        </w:rPr>
      </w:pPr>
      <w:r>
        <w:rPr>
          <w:rFonts w:ascii="宋体" w:hAnsi="宋体"/>
          <w:sz w:val="24"/>
        </w:rPr>
        <w:t>（3）在服务采购项目中，服务由中小企业承接，即提供服务的人员为中小企业依照《中华人民共和国劳动合同法》订立劳动合同的从业人员。</w:t>
      </w:r>
    </w:p>
    <w:p w14:paraId="794F4A67">
      <w:pPr>
        <w:tabs>
          <w:tab w:val="left" w:pos="900"/>
          <w:tab w:val="left" w:pos="1980"/>
          <w:tab w:val="left" w:pos="2035"/>
          <w:tab w:val="left" w:pos="2885"/>
          <w:tab w:val="left" w:pos="2977"/>
          <w:tab w:val="left" w:pos="3878"/>
        </w:tabs>
        <w:snapToGrid w:val="0"/>
        <w:spacing w:line="360" w:lineRule="auto"/>
        <w:ind w:left="2978"/>
        <w:rPr>
          <w:rFonts w:ascii="宋体" w:hAnsi="宋体"/>
          <w:sz w:val="24"/>
        </w:rPr>
      </w:pPr>
      <w:r>
        <w:rPr>
          <w:rFonts w:hint="eastAsia" w:ascii="宋体" w:hAnsi="宋体"/>
          <w:sz w:val="24"/>
        </w:rPr>
        <w:t>4</w:t>
      </w:r>
      <w:r>
        <w:rPr>
          <w:rFonts w:ascii="宋体" w:hAnsi="宋体"/>
          <w:sz w:val="24"/>
        </w:rPr>
        <w:t>.2.1.3在货物采购项目中，供应商提供的货物既有中小企业制造货物，也有大型企业制造货物的，不享受中小企业扶持政策。</w:t>
      </w:r>
    </w:p>
    <w:p w14:paraId="71E64721">
      <w:pPr>
        <w:tabs>
          <w:tab w:val="left" w:pos="900"/>
          <w:tab w:val="left" w:pos="1980"/>
          <w:tab w:val="left" w:pos="2035"/>
          <w:tab w:val="left" w:pos="2885"/>
          <w:tab w:val="left" w:pos="2977"/>
          <w:tab w:val="left" w:pos="3878"/>
        </w:tabs>
        <w:snapToGrid w:val="0"/>
        <w:spacing w:line="360" w:lineRule="auto"/>
        <w:ind w:left="2978"/>
        <w:rPr>
          <w:rFonts w:ascii="宋体" w:hAnsi="宋体"/>
          <w:sz w:val="24"/>
        </w:rPr>
      </w:pPr>
      <w:r>
        <w:rPr>
          <w:rFonts w:hint="eastAsia" w:ascii="宋体" w:hAnsi="宋体"/>
          <w:sz w:val="24"/>
        </w:rPr>
        <w:t>4</w:t>
      </w:r>
      <w:r>
        <w:rPr>
          <w:rFonts w:ascii="宋体" w:hAnsi="宋体"/>
          <w:sz w:val="24"/>
        </w:rPr>
        <w:t>.2.1.4以联合体形式参加政府采购活动，联合体各方均为中小企业的，联合体视同中小企业。其中，联合体各方均为小微企业的，联合体视同小微企业。</w:t>
      </w:r>
    </w:p>
    <w:p w14:paraId="2A43A49E">
      <w:pPr>
        <w:numPr>
          <w:ilvl w:val="2"/>
          <w:numId w:val="15"/>
        </w:numPr>
        <w:snapToGrid w:val="0"/>
        <w:spacing w:line="360" w:lineRule="auto"/>
        <w:rPr>
          <w:rFonts w:ascii="宋体" w:hAnsi="宋体"/>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0EFCF8">
      <w:pPr>
        <w:numPr>
          <w:ilvl w:val="2"/>
          <w:numId w:val="15"/>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14:paraId="5A0B7914">
      <w:pPr>
        <w:tabs>
          <w:tab w:val="left" w:pos="900"/>
          <w:tab w:val="left" w:pos="1980"/>
          <w:tab w:val="left" w:pos="2035"/>
          <w:tab w:val="left" w:pos="2885"/>
          <w:tab w:val="left" w:pos="2977"/>
          <w:tab w:val="left" w:pos="3878"/>
        </w:tabs>
        <w:snapToGrid w:val="0"/>
        <w:spacing w:line="360" w:lineRule="auto"/>
        <w:ind w:left="2978"/>
        <w:rPr>
          <w:rFonts w:ascii="宋体" w:hAnsi="宋体"/>
          <w:sz w:val="24"/>
        </w:rPr>
      </w:pPr>
      <w:r>
        <w:rPr>
          <w:rFonts w:hint="eastAsia" w:ascii="宋体" w:hAnsi="宋体"/>
          <w:sz w:val="24"/>
        </w:rPr>
        <w:t>4</w:t>
      </w:r>
      <w:r>
        <w:rPr>
          <w:rFonts w:ascii="宋体" w:hAnsi="宋体"/>
          <w:sz w:val="24"/>
        </w:rPr>
        <w:t>.2.3.1安置的残疾人占本单位在职职工人数的比例不低于25%（含25%），并且安置的残疾人人数不少于10 人（含10 人）；</w:t>
      </w:r>
    </w:p>
    <w:p w14:paraId="0530DCF2">
      <w:pPr>
        <w:tabs>
          <w:tab w:val="left" w:pos="900"/>
          <w:tab w:val="left" w:pos="1980"/>
          <w:tab w:val="left" w:pos="2035"/>
          <w:tab w:val="left" w:pos="2885"/>
          <w:tab w:val="left" w:pos="2977"/>
          <w:tab w:val="left" w:pos="3878"/>
        </w:tabs>
        <w:snapToGrid w:val="0"/>
        <w:spacing w:line="360" w:lineRule="auto"/>
        <w:ind w:left="2978"/>
        <w:rPr>
          <w:rFonts w:ascii="宋体" w:hAnsi="宋体"/>
          <w:sz w:val="24"/>
        </w:rPr>
      </w:pPr>
      <w:r>
        <w:rPr>
          <w:rFonts w:hint="eastAsia" w:ascii="宋体" w:hAnsi="宋体"/>
          <w:sz w:val="24"/>
        </w:rPr>
        <w:t>4</w:t>
      </w:r>
      <w:r>
        <w:rPr>
          <w:rFonts w:ascii="宋体" w:hAnsi="宋体"/>
          <w:sz w:val="24"/>
        </w:rPr>
        <w:t>.2.3.2依法与安置的每位残疾人签订了一年以上（含一年）的劳动合同或服务协议；</w:t>
      </w:r>
    </w:p>
    <w:p w14:paraId="3E98E783">
      <w:pPr>
        <w:tabs>
          <w:tab w:val="left" w:pos="900"/>
          <w:tab w:val="left" w:pos="1980"/>
          <w:tab w:val="left" w:pos="2035"/>
          <w:tab w:val="left" w:pos="2885"/>
          <w:tab w:val="left" w:pos="2977"/>
          <w:tab w:val="left" w:pos="3878"/>
        </w:tabs>
        <w:snapToGrid w:val="0"/>
        <w:spacing w:line="360" w:lineRule="auto"/>
        <w:ind w:left="2978"/>
        <w:rPr>
          <w:rFonts w:ascii="宋体" w:hAnsi="宋体"/>
          <w:sz w:val="24"/>
        </w:rPr>
      </w:pPr>
      <w:r>
        <w:rPr>
          <w:rFonts w:hint="eastAsia" w:ascii="宋体" w:hAnsi="宋体"/>
          <w:sz w:val="24"/>
        </w:rPr>
        <w:t>4</w:t>
      </w:r>
      <w:r>
        <w:rPr>
          <w:rFonts w:ascii="宋体" w:hAnsi="宋体"/>
          <w:sz w:val="24"/>
        </w:rPr>
        <w:t>.2.3.3为安置的每位残疾人按月足额缴纳了基本养老保险、基本医疗保险、失业保险、工伤保险和生育保险等社会保险费；</w:t>
      </w:r>
    </w:p>
    <w:p w14:paraId="0AF65DE4">
      <w:pPr>
        <w:tabs>
          <w:tab w:val="left" w:pos="900"/>
          <w:tab w:val="left" w:pos="1980"/>
          <w:tab w:val="left" w:pos="2035"/>
          <w:tab w:val="left" w:pos="2885"/>
          <w:tab w:val="left" w:pos="2977"/>
          <w:tab w:val="left" w:pos="3878"/>
        </w:tabs>
        <w:snapToGrid w:val="0"/>
        <w:spacing w:line="360" w:lineRule="auto"/>
        <w:ind w:left="2978"/>
        <w:rPr>
          <w:rFonts w:ascii="宋体" w:hAnsi="宋体"/>
          <w:sz w:val="24"/>
        </w:rPr>
      </w:pPr>
      <w:r>
        <w:rPr>
          <w:rFonts w:hint="eastAsia" w:ascii="宋体" w:hAnsi="宋体"/>
          <w:sz w:val="24"/>
        </w:rPr>
        <w:t>4</w:t>
      </w:r>
      <w:r>
        <w:rPr>
          <w:rFonts w:ascii="宋体" w:hAnsi="宋体"/>
          <w:sz w:val="24"/>
        </w:rPr>
        <w:t>.2.3.4通过银行等金融机构向安置的每位残疾人，按月支付了不低于单位所在区县适用的经省级人民政府批准的月最低工资标准的工资；</w:t>
      </w:r>
    </w:p>
    <w:p w14:paraId="287CAA61">
      <w:pPr>
        <w:tabs>
          <w:tab w:val="left" w:pos="900"/>
          <w:tab w:val="left" w:pos="1980"/>
          <w:tab w:val="left" w:pos="2035"/>
          <w:tab w:val="left" w:pos="2885"/>
          <w:tab w:val="left" w:pos="2977"/>
          <w:tab w:val="left" w:pos="3878"/>
        </w:tabs>
        <w:snapToGrid w:val="0"/>
        <w:spacing w:line="360" w:lineRule="auto"/>
        <w:ind w:left="2978"/>
        <w:rPr>
          <w:rFonts w:ascii="宋体" w:hAnsi="宋体"/>
          <w:sz w:val="24"/>
        </w:rPr>
      </w:pPr>
      <w:r>
        <w:rPr>
          <w:rFonts w:hint="eastAsia" w:ascii="宋体" w:hAnsi="宋体"/>
          <w:sz w:val="24"/>
        </w:rPr>
        <w:t>4</w:t>
      </w:r>
      <w:r>
        <w:rPr>
          <w:rFonts w:ascii="宋体" w:hAnsi="宋体"/>
          <w:sz w:val="24"/>
        </w:rPr>
        <w:t>.2.3.5提供本单位制造的货物、承担的工程或者服务（以下简称产品），或者提供其他残疾人福利性单位制造的货物（不包括使用非残疾人福利性单位注册商标的货物）；</w:t>
      </w:r>
    </w:p>
    <w:p w14:paraId="51A107B4">
      <w:pPr>
        <w:tabs>
          <w:tab w:val="left" w:pos="900"/>
          <w:tab w:val="left" w:pos="1980"/>
          <w:tab w:val="left" w:pos="2035"/>
          <w:tab w:val="left" w:pos="2885"/>
          <w:tab w:val="left" w:pos="2977"/>
          <w:tab w:val="left" w:pos="3878"/>
        </w:tabs>
        <w:snapToGrid w:val="0"/>
        <w:spacing w:line="360" w:lineRule="auto"/>
        <w:ind w:left="2978"/>
        <w:rPr>
          <w:rFonts w:ascii="宋体" w:hAnsi="宋体"/>
          <w:sz w:val="24"/>
        </w:rPr>
      </w:pPr>
      <w:r>
        <w:rPr>
          <w:rFonts w:hint="eastAsia" w:ascii="宋体" w:hAnsi="宋体"/>
          <w:sz w:val="24"/>
        </w:rPr>
        <w:t>4</w:t>
      </w:r>
      <w:r>
        <w:rPr>
          <w:rFonts w:ascii="宋体" w:hAnsi="宋体"/>
          <w:sz w:val="24"/>
        </w:rPr>
        <w:t>.2.3.6前款所称残疾人是指法定劳动年龄内，持有《中华人民共和国残疾人证》或者《中华人民共和国残疾军人证（1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9B174A3">
      <w:pPr>
        <w:numPr>
          <w:ilvl w:val="2"/>
          <w:numId w:val="15"/>
        </w:numPr>
        <w:snapToGrid w:val="0"/>
        <w:spacing w:line="360" w:lineRule="auto"/>
        <w:rPr>
          <w:rFonts w:ascii="宋体" w:hAnsi="宋体"/>
          <w:sz w:val="24"/>
        </w:rPr>
      </w:pPr>
      <w:r>
        <w:rPr>
          <w:rFonts w:ascii="宋体" w:hAnsi="宋体"/>
          <w:sz w:val="24"/>
        </w:rPr>
        <w:t>本项目是否专门面向中小企业预留采购份额见第一章《采购邀请》。</w:t>
      </w:r>
    </w:p>
    <w:p w14:paraId="17D44871">
      <w:pPr>
        <w:numPr>
          <w:ilvl w:val="2"/>
          <w:numId w:val="15"/>
        </w:numPr>
        <w:snapToGrid w:val="0"/>
        <w:spacing w:line="360" w:lineRule="auto"/>
        <w:rPr>
          <w:rFonts w:ascii="宋体" w:hAnsi="宋体"/>
          <w:sz w:val="24"/>
        </w:rPr>
      </w:pPr>
      <w:r>
        <w:rPr>
          <w:rFonts w:ascii="宋体" w:hAnsi="宋体"/>
          <w:sz w:val="24"/>
        </w:rPr>
        <w:t>采购标的对应的中小企业划分标准所属行业见《供应商须知资料表》。</w:t>
      </w:r>
    </w:p>
    <w:p w14:paraId="45EBC582">
      <w:pPr>
        <w:numPr>
          <w:ilvl w:val="2"/>
          <w:numId w:val="15"/>
        </w:numPr>
        <w:snapToGrid w:val="0"/>
        <w:spacing w:line="360" w:lineRule="auto"/>
        <w:rPr>
          <w:rFonts w:ascii="宋体" w:hAnsi="宋体"/>
          <w:sz w:val="24"/>
        </w:rPr>
      </w:pPr>
      <w:r>
        <w:rPr>
          <w:rFonts w:ascii="宋体" w:hAnsi="宋体"/>
          <w:sz w:val="24"/>
        </w:rPr>
        <w:t>小微企业价格评审优惠的政策调整：见第三章《评审方法和评审标准》。</w:t>
      </w:r>
    </w:p>
    <w:p w14:paraId="0104D762">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31C78532">
      <w:pPr>
        <w:numPr>
          <w:ilvl w:val="2"/>
          <w:numId w:val="15"/>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E4DAAA7">
      <w:pPr>
        <w:numPr>
          <w:ilvl w:val="2"/>
          <w:numId w:val="15"/>
        </w:numPr>
        <w:snapToGrid w:val="0"/>
        <w:spacing w:line="360" w:lineRule="auto"/>
        <w:rPr>
          <w:rFonts w:ascii="宋体" w:hAnsi="宋体"/>
          <w:sz w:val="24"/>
        </w:rPr>
      </w:pP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498A5B2">
      <w:pPr>
        <w:numPr>
          <w:ilvl w:val="2"/>
          <w:numId w:val="15"/>
        </w:numPr>
        <w:snapToGrid w:val="0"/>
        <w:spacing w:line="360" w:lineRule="auto"/>
        <w:rPr>
          <w:rFonts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3F19515D">
      <w:pPr>
        <w:numPr>
          <w:ilvl w:val="2"/>
          <w:numId w:val="15"/>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4953435D">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支持乡村产业振兴管理</w:t>
      </w:r>
    </w:p>
    <w:p w14:paraId="1A4C13D0">
      <w:pPr>
        <w:numPr>
          <w:ilvl w:val="2"/>
          <w:numId w:val="15"/>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73A0E1E9">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正版软件</w:t>
      </w:r>
    </w:p>
    <w:p w14:paraId="7E078F31">
      <w:pPr>
        <w:numPr>
          <w:ilvl w:val="2"/>
          <w:numId w:val="15"/>
        </w:numPr>
        <w:snapToGrid w:val="0"/>
        <w:spacing w:line="360" w:lineRule="auto"/>
        <w:rPr>
          <w:rFonts w:ascii="宋体" w:hAnsi="宋体"/>
          <w:sz w:val="24"/>
        </w:rPr>
      </w:pPr>
      <w:r>
        <w:rPr>
          <w:rFonts w:ascii="宋体" w:hAnsi="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30D4C35">
      <w:pPr>
        <w:numPr>
          <w:ilvl w:val="2"/>
          <w:numId w:val="15"/>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031350B">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信息安全产品</w:t>
      </w:r>
    </w:p>
    <w:p w14:paraId="6ACCABC8">
      <w:pPr>
        <w:numPr>
          <w:ilvl w:val="2"/>
          <w:numId w:val="15"/>
        </w:numPr>
        <w:tabs>
          <w:tab w:val="left" w:pos="2014"/>
        </w:tabs>
        <w:snapToGrid w:val="0"/>
        <w:spacing w:line="360" w:lineRule="auto"/>
        <w:rPr>
          <w:rFonts w:ascii="宋体" w:hAnsi="宋体"/>
          <w:sz w:val="24"/>
        </w:rPr>
      </w:pP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48E6FEC2">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60C82FEB">
      <w:pPr>
        <w:numPr>
          <w:ilvl w:val="2"/>
          <w:numId w:val="15"/>
        </w:numPr>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7AE3233C">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响应费用</w:t>
      </w:r>
    </w:p>
    <w:p w14:paraId="76CB9EF8">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7C9E78C4">
      <w:pPr>
        <w:tabs>
          <w:tab w:val="left" w:pos="1080"/>
        </w:tabs>
        <w:snapToGrid w:val="0"/>
        <w:spacing w:line="360" w:lineRule="auto"/>
        <w:ind w:left="1080"/>
        <w:rPr>
          <w:rFonts w:ascii="宋体" w:hAnsi="宋体"/>
          <w:sz w:val="28"/>
        </w:rPr>
      </w:pPr>
      <w:bookmarkStart w:id="166" w:name="_1.8_计量单位"/>
      <w:bookmarkEnd w:id="166"/>
    </w:p>
    <w:p w14:paraId="668BEDF6">
      <w:pPr>
        <w:pStyle w:val="4"/>
        <w:spacing w:before="0" w:line="360" w:lineRule="auto"/>
        <w:rPr>
          <w:rFonts w:ascii="宋体" w:hAnsi="宋体" w:eastAsia="宋体"/>
          <w:sz w:val="28"/>
        </w:rPr>
      </w:pPr>
      <w:r>
        <w:rPr>
          <w:rFonts w:ascii="宋体" w:hAnsi="宋体" w:eastAsia="宋体"/>
          <w:sz w:val="28"/>
        </w:rPr>
        <w:t>二   竞争性磋商文件</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134F2D3">
      <w:pPr>
        <w:numPr>
          <w:ilvl w:val="0"/>
          <w:numId w:val="15"/>
        </w:numPr>
        <w:tabs>
          <w:tab w:val="left" w:pos="360"/>
        </w:tabs>
        <w:snapToGrid w:val="0"/>
        <w:spacing w:line="360" w:lineRule="auto"/>
        <w:ind w:left="357" w:hanging="357"/>
        <w:outlineLvl w:val="1"/>
        <w:rPr>
          <w:rFonts w:ascii="宋体" w:hAnsi="宋体"/>
          <w:sz w:val="24"/>
        </w:rPr>
      </w:pPr>
      <w:bookmarkStart w:id="167" w:name="_Toc151193837"/>
      <w:bookmarkStart w:id="168" w:name="_Toc151193693"/>
      <w:bookmarkStart w:id="169" w:name="_Toc151193911"/>
      <w:bookmarkStart w:id="170" w:name="_Toc149720816"/>
      <w:bookmarkStart w:id="171" w:name="_Toc520356147"/>
      <w:bookmarkStart w:id="172" w:name="_Toc127161437"/>
      <w:bookmarkStart w:id="173" w:name="_Toc195842888"/>
      <w:bookmarkStart w:id="174" w:name="_Toc127151724"/>
      <w:bookmarkStart w:id="175" w:name="_Toc264969213"/>
      <w:bookmarkStart w:id="176" w:name="_Toc151193621"/>
      <w:bookmarkStart w:id="177" w:name="_Toc226965796"/>
      <w:bookmarkStart w:id="178" w:name="_Toc164608792"/>
      <w:bookmarkStart w:id="179" w:name="_Toc150509274"/>
      <w:bookmarkStart w:id="180" w:name="_Toc305158791"/>
      <w:bookmarkStart w:id="181" w:name="_Toc164351617"/>
      <w:bookmarkStart w:id="182" w:name="_Toc226337219"/>
      <w:bookmarkStart w:id="183" w:name="_Toc150480761"/>
      <w:bookmarkStart w:id="184" w:name="_Toc151193765"/>
      <w:bookmarkStart w:id="185" w:name="_Toc127151523"/>
      <w:bookmarkStart w:id="186" w:name="_Toc265228361"/>
      <w:bookmarkStart w:id="187" w:name="_Toc150774728"/>
      <w:bookmarkStart w:id="188" w:name="_Toc151190150"/>
      <w:bookmarkStart w:id="189" w:name="_Toc142311025"/>
      <w:bookmarkStart w:id="190" w:name="_Toc226309767"/>
      <w:bookmarkStart w:id="191" w:name="_Toc164608637"/>
      <w:bookmarkStart w:id="192" w:name="_Toc164229218"/>
      <w:bookmarkStart w:id="193" w:name="_Toc150774623"/>
      <w:bookmarkStart w:id="194" w:name="_Toc226965713"/>
      <w:bookmarkStart w:id="195" w:name="_Toc164229364"/>
      <w:bookmarkStart w:id="196" w:name="_Toc305158865"/>
      <w:r>
        <w:rPr>
          <w:rFonts w:ascii="宋体" w:hAnsi="宋体"/>
          <w:sz w:val="24"/>
        </w:rPr>
        <w:t>竞争性磋商文件构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ascii="宋体" w:hAnsi="宋体"/>
          <w:sz w:val="24"/>
        </w:rPr>
        <w:t>成</w:t>
      </w:r>
    </w:p>
    <w:p w14:paraId="0754572E">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竞争性磋商文件包括以下部分：</w:t>
      </w:r>
    </w:p>
    <w:p w14:paraId="49A140F9">
      <w:pPr>
        <w:numPr>
          <w:ilvl w:val="0"/>
          <w:numId w:val="16"/>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采购邀请</w:t>
      </w:r>
    </w:p>
    <w:p w14:paraId="4A467250">
      <w:pPr>
        <w:numPr>
          <w:ilvl w:val="0"/>
          <w:numId w:val="16"/>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供应商须知</w:t>
      </w:r>
    </w:p>
    <w:p w14:paraId="0B9C4972">
      <w:pPr>
        <w:numPr>
          <w:ilvl w:val="0"/>
          <w:numId w:val="16"/>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评审方法和评审标准</w:t>
      </w:r>
    </w:p>
    <w:p w14:paraId="05BA60DA">
      <w:pPr>
        <w:numPr>
          <w:ilvl w:val="0"/>
          <w:numId w:val="16"/>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采购需求</w:t>
      </w:r>
    </w:p>
    <w:p w14:paraId="5A2234C7">
      <w:pPr>
        <w:numPr>
          <w:ilvl w:val="0"/>
          <w:numId w:val="16"/>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合同草案条款</w:t>
      </w:r>
    </w:p>
    <w:p w14:paraId="6D4FAF3A">
      <w:pPr>
        <w:numPr>
          <w:ilvl w:val="0"/>
          <w:numId w:val="16"/>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响应文件格式</w:t>
      </w:r>
    </w:p>
    <w:p w14:paraId="2502245B">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5E397A45">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对竞争性磋商文件的澄清或修改</w:t>
      </w:r>
    </w:p>
    <w:p w14:paraId="5E148048">
      <w:pPr>
        <w:numPr>
          <w:ilvl w:val="1"/>
          <w:numId w:val="15"/>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采购人或采购代理机构对已发出的竞争性磋商文件进行必要澄清或者修改的，</w:t>
      </w:r>
      <w:r>
        <w:rPr>
          <w:rFonts w:hint="eastAsia" w:ascii="宋体" w:hAnsi="宋体"/>
          <w:sz w:val="24"/>
        </w:rPr>
        <w:t>将</w:t>
      </w:r>
      <w:r>
        <w:rPr>
          <w:rFonts w:ascii="宋体" w:hAnsi="宋体"/>
          <w:sz w:val="24"/>
        </w:rPr>
        <w:t>以书面形式通知所有获取竞争性磋商文件的潜在供应商。</w:t>
      </w:r>
      <w:r>
        <w:rPr>
          <w:rFonts w:hint="eastAsia" w:ascii="宋体" w:hAnsi="宋体"/>
          <w:sz w:val="24"/>
        </w:rPr>
        <w:t>采用公告方式邀请供应商参与的，还将</w:t>
      </w:r>
      <w:r>
        <w:rPr>
          <w:rFonts w:ascii="宋体" w:hAnsi="宋体"/>
          <w:sz w:val="24"/>
        </w:rPr>
        <w:t>在原公告发布媒体上发布更正公告</w:t>
      </w:r>
      <w:r>
        <w:rPr>
          <w:rFonts w:hint="eastAsia" w:ascii="宋体" w:hAnsi="宋体"/>
          <w:sz w:val="24"/>
        </w:rPr>
        <w:t>。</w:t>
      </w:r>
    </w:p>
    <w:p w14:paraId="538A347B">
      <w:pPr>
        <w:numPr>
          <w:ilvl w:val="1"/>
          <w:numId w:val="15"/>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780C22DB">
      <w:pPr>
        <w:numPr>
          <w:ilvl w:val="1"/>
          <w:numId w:val="15"/>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58C11443">
      <w:pPr>
        <w:pStyle w:val="4"/>
        <w:spacing w:before="0" w:line="360" w:lineRule="auto"/>
        <w:rPr>
          <w:rFonts w:ascii="宋体" w:hAnsi="宋体" w:eastAsia="宋体"/>
          <w:sz w:val="28"/>
        </w:rPr>
      </w:pPr>
      <w:bookmarkStart w:id="197" w:name="_Toc516367020"/>
      <w:bookmarkStart w:id="198" w:name="_Toc265228364"/>
      <w:bookmarkStart w:id="199" w:name="_Toc150774731"/>
      <w:bookmarkStart w:id="200" w:name="_Toc151193914"/>
      <w:bookmarkStart w:id="201" w:name="_Toc151193696"/>
      <w:bookmarkStart w:id="202" w:name="_Toc127151526"/>
      <w:bookmarkStart w:id="203" w:name="_Toc150480764"/>
      <w:bookmarkStart w:id="204" w:name="_Toc150774626"/>
      <w:bookmarkStart w:id="205" w:name="_Toc520356150"/>
      <w:bookmarkStart w:id="206" w:name="_Toc226309770"/>
      <w:bookmarkStart w:id="207" w:name="_Toc151193624"/>
      <w:bookmarkStart w:id="208" w:name="_Toc226965799"/>
      <w:bookmarkStart w:id="209" w:name="_Toc226965716"/>
      <w:bookmarkStart w:id="210" w:name="_Toc151193768"/>
      <w:bookmarkStart w:id="211" w:name="_Toc305158868"/>
      <w:bookmarkStart w:id="212" w:name="_Toc150509277"/>
      <w:bookmarkStart w:id="213" w:name="_Toc226337222"/>
      <w:bookmarkStart w:id="214" w:name="_Toc305158794"/>
      <w:bookmarkStart w:id="215" w:name="_Toc151190153"/>
      <w:bookmarkStart w:id="216" w:name="_Toc195842891"/>
      <w:bookmarkStart w:id="217" w:name="_Toc264969216"/>
      <w:bookmarkStart w:id="218" w:name="_Toc151193840"/>
      <w:bookmarkStart w:id="219" w:name="_Toc142311028"/>
      <w:r>
        <w:rPr>
          <w:rFonts w:ascii="宋体" w:hAnsi="宋体" w:eastAsia="宋体"/>
          <w:sz w:val="28"/>
        </w:rPr>
        <w:t>三   响应文件</w:t>
      </w:r>
      <w:bookmarkEnd w:id="197"/>
      <w:r>
        <w:rPr>
          <w:rFonts w:ascii="宋体" w:hAnsi="宋体" w:eastAsia="宋体"/>
          <w:sz w:val="28"/>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2333FEF">
      <w:pPr>
        <w:numPr>
          <w:ilvl w:val="0"/>
          <w:numId w:val="15"/>
        </w:numPr>
        <w:tabs>
          <w:tab w:val="left" w:pos="360"/>
        </w:tabs>
        <w:snapToGrid w:val="0"/>
        <w:spacing w:line="360" w:lineRule="auto"/>
        <w:ind w:left="357" w:hanging="357"/>
        <w:outlineLvl w:val="1"/>
        <w:rPr>
          <w:rFonts w:ascii="宋体" w:hAnsi="宋体"/>
          <w:sz w:val="24"/>
        </w:rPr>
      </w:pPr>
      <w:bookmarkStart w:id="220" w:name="_Toc150774627"/>
      <w:bookmarkStart w:id="221" w:name="_Toc226965800"/>
      <w:bookmarkStart w:id="222" w:name="_Toc516367021"/>
      <w:bookmarkStart w:id="223" w:name="_Toc127151527"/>
      <w:bookmarkStart w:id="224" w:name="_Toc151190154"/>
      <w:bookmarkStart w:id="225" w:name="_Toc305158795"/>
      <w:bookmarkStart w:id="226" w:name="_Toc265228365"/>
      <w:bookmarkStart w:id="227" w:name="_Toc195842892"/>
      <w:bookmarkStart w:id="228" w:name="_Toc151193625"/>
      <w:bookmarkStart w:id="229" w:name="_Toc142311029"/>
      <w:bookmarkStart w:id="230" w:name="_Toc150774732"/>
      <w:bookmarkStart w:id="231" w:name="_Toc226309771"/>
      <w:bookmarkStart w:id="232" w:name="_Toc151193915"/>
      <w:bookmarkStart w:id="233" w:name="_Toc164608641"/>
      <w:bookmarkStart w:id="234" w:name="_Toc226337223"/>
      <w:bookmarkStart w:id="235" w:name="_Toc127161441"/>
      <w:bookmarkStart w:id="236" w:name="_Toc151193769"/>
      <w:bookmarkStart w:id="237" w:name="_Toc264969217"/>
      <w:bookmarkStart w:id="238" w:name="_Toc164351621"/>
      <w:bookmarkStart w:id="239" w:name="_Toc520356151"/>
      <w:bookmarkStart w:id="240" w:name="_Toc164229222"/>
      <w:bookmarkStart w:id="241" w:name="_Toc164229368"/>
      <w:bookmarkStart w:id="242" w:name="_Toc151193841"/>
      <w:bookmarkStart w:id="243" w:name="_Toc226965717"/>
      <w:bookmarkStart w:id="244" w:name="_Toc151193697"/>
      <w:bookmarkStart w:id="245" w:name="_Toc150480765"/>
      <w:bookmarkStart w:id="246" w:name="_Toc127151728"/>
      <w:bookmarkStart w:id="247" w:name="_Toc164608796"/>
      <w:bookmarkStart w:id="248" w:name="_Toc150509278"/>
      <w:bookmarkStart w:id="249" w:name="_Toc305158869"/>
      <w:bookmarkStart w:id="250" w:name="_Toc149720820"/>
      <w:r>
        <w:rPr>
          <w:rFonts w:ascii="宋体" w:hAnsi="宋体"/>
          <w:sz w:val="24"/>
        </w:rPr>
        <w:t>响应范围、竞争性磋商文件中计量单位的使用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ascii="宋体" w:hAnsi="宋体"/>
          <w:sz w:val="24"/>
        </w:rPr>
        <w:t>及磋商语言</w:t>
      </w:r>
    </w:p>
    <w:p w14:paraId="03287564">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422C2E55">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除竞争性磋商文件有特殊要求外，本项目磋商所使用的计量单位，应采用中华人民共和国法定计量单位。</w:t>
      </w:r>
    </w:p>
    <w:p w14:paraId="33FA5BC6">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69F9884">
      <w:pPr>
        <w:numPr>
          <w:ilvl w:val="0"/>
          <w:numId w:val="15"/>
        </w:numPr>
        <w:tabs>
          <w:tab w:val="left" w:pos="360"/>
        </w:tabs>
        <w:snapToGrid w:val="0"/>
        <w:spacing w:line="360" w:lineRule="auto"/>
        <w:ind w:left="357" w:hanging="357"/>
        <w:outlineLvl w:val="1"/>
        <w:rPr>
          <w:rFonts w:ascii="宋体" w:hAnsi="宋体"/>
          <w:sz w:val="24"/>
        </w:rPr>
      </w:pPr>
      <w:bookmarkStart w:id="251" w:name="_Ref467306676"/>
      <w:bookmarkStart w:id="252" w:name="_Ref467306195"/>
      <w:bookmarkStart w:id="253" w:name="_Toc516367022"/>
      <w:bookmarkStart w:id="254" w:name="_Toc195842893"/>
      <w:bookmarkStart w:id="255" w:name="_Toc164608797"/>
      <w:bookmarkStart w:id="256" w:name="_Toc164229223"/>
      <w:bookmarkStart w:id="257" w:name="_Toc127151729"/>
      <w:bookmarkStart w:id="258" w:name="_Toc226965718"/>
      <w:bookmarkStart w:id="259" w:name="_Toc226337224"/>
      <w:bookmarkStart w:id="260" w:name="_Toc151193770"/>
      <w:bookmarkStart w:id="261" w:name="_Toc264969218"/>
      <w:bookmarkStart w:id="262" w:name="_Toc226965801"/>
      <w:bookmarkStart w:id="263" w:name="_Toc164229369"/>
      <w:bookmarkStart w:id="264" w:name="_Toc520356152"/>
      <w:bookmarkStart w:id="265" w:name="_Toc150480766"/>
      <w:bookmarkStart w:id="266" w:name="_Toc151193842"/>
      <w:bookmarkStart w:id="267" w:name="_Toc150774733"/>
      <w:bookmarkStart w:id="268" w:name="_Toc142311030"/>
      <w:bookmarkStart w:id="269" w:name="_Toc127161442"/>
      <w:bookmarkStart w:id="270" w:name="_Toc226309772"/>
      <w:bookmarkStart w:id="271" w:name="_Toc151193698"/>
      <w:bookmarkStart w:id="272" w:name="_Toc151193626"/>
      <w:bookmarkStart w:id="273" w:name="_Toc149720821"/>
      <w:bookmarkStart w:id="274" w:name="_Toc127151528"/>
      <w:bookmarkStart w:id="275" w:name="_Toc265228366"/>
      <w:bookmarkStart w:id="276" w:name="_Toc150774628"/>
      <w:bookmarkStart w:id="277" w:name="_Toc164608642"/>
      <w:bookmarkStart w:id="278" w:name="_Toc151193916"/>
      <w:bookmarkStart w:id="279" w:name="_Toc305158870"/>
      <w:bookmarkStart w:id="280" w:name="_Toc150509279"/>
      <w:bookmarkStart w:id="281" w:name="_Toc151190155"/>
      <w:bookmarkStart w:id="282" w:name="_Toc164351622"/>
      <w:bookmarkStart w:id="283" w:name="_Toc305158796"/>
      <w:r>
        <w:rPr>
          <w:rFonts w:ascii="宋体" w:hAnsi="宋体"/>
          <w:sz w:val="24"/>
        </w:rPr>
        <w:t>响应文件</w:t>
      </w:r>
      <w:bookmarkEnd w:id="251"/>
      <w:bookmarkEnd w:id="252"/>
      <w:bookmarkEnd w:id="253"/>
      <w:r>
        <w:rPr>
          <w:rFonts w:ascii="宋体" w:hAnsi="宋体"/>
          <w:sz w:val="24"/>
        </w:rPr>
        <w:t>构成</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3AAD4C5">
      <w:pPr>
        <w:numPr>
          <w:ilvl w:val="1"/>
          <w:numId w:val="15"/>
        </w:numPr>
        <w:tabs>
          <w:tab w:val="left" w:pos="1080"/>
          <w:tab w:val="left" w:pos="1589"/>
          <w:tab w:val="left" w:pos="2014"/>
        </w:tabs>
        <w:snapToGrid w:val="0"/>
        <w:spacing w:line="360" w:lineRule="auto"/>
        <w:ind w:left="1077" w:hanging="720"/>
        <w:rPr>
          <w:rFonts w:ascii="宋体" w:hAnsi="宋体"/>
          <w:sz w:val="24"/>
        </w:rPr>
      </w:pPr>
      <w:bookmarkStart w:id="284"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5BB17B15">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42CBB596">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第三章《评审方法和评审标准》中涉及的证明文件。</w:t>
      </w:r>
    </w:p>
    <w:p w14:paraId="1C0216FB">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7386CB5">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供应商认为应附的其他材料。</w:t>
      </w:r>
      <w:bookmarkEnd w:id="284"/>
    </w:p>
    <w:p w14:paraId="6AAF2734">
      <w:pPr>
        <w:numPr>
          <w:ilvl w:val="0"/>
          <w:numId w:val="15"/>
        </w:numPr>
        <w:tabs>
          <w:tab w:val="left" w:pos="360"/>
        </w:tabs>
        <w:snapToGrid w:val="0"/>
        <w:spacing w:line="360" w:lineRule="auto"/>
        <w:ind w:left="357" w:hanging="357"/>
        <w:outlineLvl w:val="1"/>
        <w:rPr>
          <w:rFonts w:ascii="宋体" w:hAnsi="宋体"/>
          <w:sz w:val="24"/>
        </w:rPr>
      </w:pPr>
      <w:bookmarkStart w:id="285" w:name="_Toc127161444"/>
      <w:bookmarkStart w:id="286" w:name="_Toc151190157"/>
      <w:bookmarkStart w:id="287" w:name="_Toc142311032"/>
      <w:bookmarkStart w:id="288" w:name="_Toc127151731"/>
      <w:bookmarkStart w:id="289" w:name="_Toc164229225"/>
      <w:bookmarkStart w:id="290" w:name="_Toc150774735"/>
      <w:bookmarkStart w:id="291" w:name="_Toc151193700"/>
      <w:bookmarkStart w:id="292" w:name="_Toc127151530"/>
      <w:bookmarkStart w:id="293" w:name="_Toc164608799"/>
      <w:bookmarkStart w:id="294" w:name="_Toc520356155"/>
      <w:bookmarkStart w:id="295" w:name="_Toc150509281"/>
      <w:bookmarkStart w:id="296" w:name="_Toc150774630"/>
      <w:bookmarkStart w:id="297" w:name="_Toc195842895"/>
      <w:bookmarkStart w:id="298" w:name="_Toc151193918"/>
      <w:bookmarkStart w:id="299" w:name="_Toc150480768"/>
      <w:bookmarkStart w:id="300" w:name="_Toc149720823"/>
      <w:bookmarkStart w:id="301" w:name="_Toc151193844"/>
      <w:bookmarkStart w:id="302" w:name="_Toc164229371"/>
      <w:bookmarkStart w:id="303" w:name="_Toc164351624"/>
      <w:bookmarkStart w:id="304" w:name="_Toc151193628"/>
      <w:bookmarkStart w:id="305" w:name="_Toc164608644"/>
      <w:bookmarkStart w:id="306" w:name="_Toc151193772"/>
      <w:r>
        <w:rPr>
          <w:rFonts w:ascii="宋体" w:hAnsi="宋体"/>
          <w:sz w:val="24"/>
        </w:rPr>
        <w:t>报价</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5C7FF2B8">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所有响应均以人民币报价。</w:t>
      </w:r>
    </w:p>
    <w:p w14:paraId="338F6E36">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供应商的报价应包括为完成本项目所发生的一切费用和税费，采购人将不再支付报价以外的任何费用。</w:t>
      </w:r>
      <w:r>
        <w:rPr>
          <w:rFonts w:hint="eastAsia" w:ascii="宋体" w:hAnsi="宋体"/>
          <w:sz w:val="24"/>
        </w:rPr>
        <w:t>供应商的报价应包括但不限于下列内容，《供应商须知资料表》中有特殊规定的，从其规定。</w:t>
      </w:r>
    </w:p>
    <w:p w14:paraId="2083E0A4">
      <w:pPr>
        <w:numPr>
          <w:ilvl w:val="2"/>
          <w:numId w:val="15"/>
        </w:numPr>
        <w:snapToGrid w:val="0"/>
        <w:spacing w:line="360" w:lineRule="auto"/>
        <w:rPr>
          <w:rFonts w:ascii="宋体" w:hAnsi="宋体"/>
          <w:sz w:val="24"/>
        </w:rPr>
      </w:pPr>
      <w:r>
        <w:rPr>
          <w:rFonts w:ascii="宋体" w:hAnsi="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7E4DB0F1">
      <w:pPr>
        <w:numPr>
          <w:ilvl w:val="2"/>
          <w:numId w:val="15"/>
        </w:numPr>
        <w:snapToGrid w:val="0"/>
        <w:spacing w:line="360" w:lineRule="auto"/>
        <w:rPr>
          <w:rFonts w:ascii="宋体" w:hAnsi="宋体"/>
          <w:sz w:val="24"/>
        </w:rPr>
      </w:pPr>
      <w:r>
        <w:rPr>
          <w:rFonts w:ascii="宋体" w:hAnsi="宋体"/>
          <w:sz w:val="24"/>
        </w:rPr>
        <w:t>按照竞争性磋商文件要求完成本项</w:t>
      </w:r>
      <w:r>
        <w:rPr>
          <w:rFonts w:hint="eastAsia" w:ascii="宋体" w:hAnsi="宋体"/>
          <w:sz w:val="24"/>
        </w:rPr>
        <w:t>目的全部相关工程或服务费用。</w:t>
      </w:r>
    </w:p>
    <w:p w14:paraId="058A04B1">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1AE2A696">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041D8962">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磋商保证金</w:t>
      </w:r>
      <w:r>
        <w:rPr>
          <w:rFonts w:hint="eastAsia" w:ascii="宋体" w:hAnsi="宋体"/>
          <w:sz w:val="24"/>
        </w:rPr>
        <w:t>（本项目不适用）</w:t>
      </w:r>
    </w:p>
    <w:p w14:paraId="7C2C339D">
      <w:pPr>
        <w:numPr>
          <w:ilvl w:val="1"/>
          <w:numId w:val="15"/>
        </w:numPr>
        <w:tabs>
          <w:tab w:val="left" w:pos="1080"/>
          <w:tab w:val="left" w:pos="1589"/>
          <w:tab w:val="left" w:pos="2014"/>
        </w:tabs>
        <w:snapToGrid w:val="0"/>
        <w:spacing w:line="360" w:lineRule="auto"/>
        <w:ind w:left="1077" w:hanging="720"/>
        <w:rPr>
          <w:rFonts w:ascii="宋体" w:hAnsi="宋体"/>
          <w:sz w:val="24"/>
        </w:rPr>
      </w:pPr>
      <w:bookmarkStart w:id="307" w:name="_Ref467306302"/>
      <w:r>
        <w:rPr>
          <w:rFonts w:ascii="宋体" w:hAnsi="宋体"/>
          <w:sz w:val="24"/>
        </w:rPr>
        <w:t>供应商应按《供应商须知资料表》中规定的金额及要求交纳磋商保证金</w:t>
      </w:r>
      <w:bookmarkEnd w:id="307"/>
      <w:r>
        <w:rPr>
          <w:rFonts w:ascii="宋体" w:hAnsi="宋体"/>
          <w:sz w:val="24"/>
        </w:rPr>
        <w:t>，并作为其响应文件的一部分。</w:t>
      </w:r>
    </w:p>
    <w:p w14:paraId="46C50505">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交纳磋商保证金可采用的形式：政府采购法律法规接受的支票、汇票、本票、网上银行支付或者金融机构、担保机构出具的保函等非现金形式。</w:t>
      </w:r>
    </w:p>
    <w:p w14:paraId="0F5E7BBE">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金融机构、担保机构出具的保函等形式提交</w:t>
      </w:r>
      <w:r>
        <w:rPr>
          <w:rFonts w:hint="eastAsia" w:ascii="宋体" w:hAnsi="宋体"/>
          <w:sz w:val="24"/>
        </w:rPr>
        <w:t>磋商</w:t>
      </w:r>
      <w:r>
        <w:rPr>
          <w:rFonts w:ascii="宋体" w:hAnsi="宋体"/>
          <w:sz w:val="24"/>
        </w:rPr>
        <w:t>保证金的，应在首次响应文件</w:t>
      </w:r>
      <w:r>
        <w:rPr>
          <w:rFonts w:hint="eastAsia" w:ascii="宋体" w:hAnsi="宋体"/>
          <w:sz w:val="24"/>
        </w:rPr>
        <w:t>提交</w:t>
      </w:r>
      <w:r>
        <w:rPr>
          <w:rFonts w:ascii="宋体" w:hAnsi="宋体"/>
          <w:sz w:val="24"/>
        </w:rPr>
        <w:t>截止时间前将原件提交至采购代理机构；由于</w:t>
      </w:r>
      <w:r>
        <w:rPr>
          <w:rFonts w:hint="eastAsia" w:ascii="宋体" w:hAnsi="宋体"/>
          <w:sz w:val="24"/>
        </w:rPr>
        <w:t>到账时间</w:t>
      </w:r>
      <w:r>
        <w:rPr>
          <w:rFonts w:ascii="宋体" w:hAnsi="宋体"/>
          <w:sz w:val="24"/>
        </w:rPr>
        <w:t>晚于首次响应文件提交截止时间的，或者票据错误、印鉴不清等原因导致不能到账的，其</w:t>
      </w:r>
      <w:r>
        <w:rPr>
          <w:rFonts w:ascii="宋体" w:hAnsi="宋体"/>
          <w:b/>
          <w:sz w:val="24"/>
        </w:rPr>
        <w:t>响应无效</w:t>
      </w:r>
      <w:r>
        <w:rPr>
          <w:rFonts w:ascii="宋体" w:hAnsi="宋体"/>
          <w:sz w:val="24"/>
        </w:rPr>
        <w:t>。</w:t>
      </w:r>
    </w:p>
    <w:p w14:paraId="36BDE338">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磋商保证金（保函）有效期同响应有效期。</w:t>
      </w:r>
    </w:p>
    <w:p w14:paraId="2DC2A1DA">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供应商为联合体的，可以由联合体中的一方或者多方共同交纳磋商保证金，其交纳的保证金对联合体各方均具有约束力。</w:t>
      </w:r>
    </w:p>
    <w:p w14:paraId="1EC7FF1D">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992C9FB">
      <w:pPr>
        <w:numPr>
          <w:ilvl w:val="2"/>
          <w:numId w:val="15"/>
        </w:numPr>
        <w:snapToGrid w:val="0"/>
        <w:spacing w:line="360" w:lineRule="auto"/>
        <w:rPr>
          <w:rFonts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hint="eastAsia" w:ascii="宋体" w:hAnsi="宋体"/>
          <w:snapToGrid w:val="0"/>
          <w:kern w:val="0"/>
          <w:sz w:val="24"/>
        </w:rPr>
        <w:t>；</w:t>
      </w:r>
    </w:p>
    <w:p w14:paraId="0F5BA935">
      <w:pPr>
        <w:numPr>
          <w:ilvl w:val="2"/>
          <w:numId w:val="15"/>
        </w:numPr>
        <w:snapToGrid w:val="0"/>
        <w:spacing w:line="360" w:lineRule="auto"/>
        <w:rPr>
          <w:rFonts w:ascii="宋体" w:hAnsi="宋体"/>
          <w:sz w:val="24"/>
        </w:rPr>
      </w:pPr>
      <w:r>
        <w:rPr>
          <w:rFonts w:ascii="宋体" w:hAnsi="宋体"/>
          <w:sz w:val="24"/>
        </w:rPr>
        <w:t>成交供应商的磋商保证金，在采购合同签订后5个工作日内退还成交供应商；</w:t>
      </w:r>
    </w:p>
    <w:p w14:paraId="4A771604">
      <w:pPr>
        <w:numPr>
          <w:ilvl w:val="2"/>
          <w:numId w:val="15"/>
        </w:numPr>
        <w:snapToGrid w:val="0"/>
        <w:spacing w:line="360" w:lineRule="auto"/>
        <w:rPr>
          <w:rFonts w:ascii="宋体" w:hAnsi="宋体"/>
          <w:sz w:val="24"/>
        </w:rPr>
      </w:pPr>
      <w:r>
        <w:rPr>
          <w:rFonts w:ascii="宋体" w:hAnsi="宋体"/>
          <w:sz w:val="24"/>
        </w:rPr>
        <w:t>未成交供应商的磋商保证金，在成交通知书发出后5个工作日内退还</w:t>
      </w:r>
      <w:r>
        <w:rPr>
          <w:rFonts w:hint="eastAsia" w:ascii="宋体" w:hAnsi="宋体"/>
          <w:sz w:val="24"/>
        </w:rPr>
        <w:t>。</w:t>
      </w:r>
    </w:p>
    <w:p w14:paraId="55948765">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有下列情形之一的，采购人或采购代理机构不予退还磋商保证金：</w:t>
      </w:r>
    </w:p>
    <w:p w14:paraId="3E1B15C4">
      <w:pPr>
        <w:numPr>
          <w:ilvl w:val="2"/>
          <w:numId w:val="15"/>
        </w:numPr>
        <w:snapToGrid w:val="0"/>
        <w:spacing w:line="360" w:lineRule="auto"/>
        <w:rPr>
          <w:rFonts w:ascii="宋体" w:hAnsi="宋体"/>
          <w:sz w:val="24"/>
        </w:rPr>
      </w:pPr>
      <w:r>
        <w:rPr>
          <w:rFonts w:ascii="宋体" w:hAnsi="宋体"/>
          <w:sz w:val="24"/>
        </w:rPr>
        <w:t>供应商在提交响应文件截止时间后撤回响应文件的；</w:t>
      </w:r>
    </w:p>
    <w:p w14:paraId="301EE582">
      <w:pPr>
        <w:numPr>
          <w:ilvl w:val="2"/>
          <w:numId w:val="15"/>
        </w:numPr>
        <w:snapToGrid w:val="0"/>
        <w:spacing w:line="360" w:lineRule="auto"/>
        <w:rPr>
          <w:rFonts w:ascii="宋体" w:hAnsi="宋体"/>
          <w:sz w:val="24"/>
        </w:rPr>
      </w:pPr>
      <w:r>
        <w:rPr>
          <w:rFonts w:ascii="宋体" w:hAnsi="宋体"/>
          <w:sz w:val="24"/>
        </w:rPr>
        <w:t>供应商在响应文件中提供虚假材料的；</w:t>
      </w:r>
    </w:p>
    <w:p w14:paraId="2C5775E2">
      <w:pPr>
        <w:numPr>
          <w:ilvl w:val="2"/>
          <w:numId w:val="15"/>
        </w:numPr>
        <w:snapToGrid w:val="0"/>
        <w:spacing w:line="360" w:lineRule="auto"/>
        <w:rPr>
          <w:rFonts w:ascii="宋体" w:hAnsi="宋体"/>
          <w:sz w:val="24"/>
        </w:rPr>
      </w:pPr>
      <w:r>
        <w:rPr>
          <w:rFonts w:ascii="宋体" w:hAnsi="宋体"/>
          <w:sz w:val="24"/>
        </w:rPr>
        <w:t>除因不可抗力或磋商文件认可的情形以外，成交供应商不与采购人签订合同的；</w:t>
      </w:r>
    </w:p>
    <w:p w14:paraId="325227C8">
      <w:pPr>
        <w:numPr>
          <w:ilvl w:val="2"/>
          <w:numId w:val="15"/>
        </w:numPr>
        <w:snapToGrid w:val="0"/>
        <w:spacing w:line="360" w:lineRule="auto"/>
        <w:rPr>
          <w:rFonts w:ascii="宋体" w:hAnsi="宋体"/>
          <w:sz w:val="24"/>
        </w:rPr>
      </w:pPr>
      <w:r>
        <w:rPr>
          <w:rFonts w:ascii="宋体" w:hAnsi="宋体"/>
          <w:sz w:val="24"/>
        </w:rPr>
        <w:t>供应商与采购人、其他供应商或者采购代理机构恶意串通的；</w:t>
      </w:r>
    </w:p>
    <w:p w14:paraId="14CD04D7">
      <w:pPr>
        <w:numPr>
          <w:ilvl w:val="2"/>
          <w:numId w:val="15"/>
        </w:numPr>
        <w:snapToGrid w:val="0"/>
        <w:spacing w:line="360" w:lineRule="auto"/>
        <w:rPr>
          <w:rFonts w:ascii="宋体" w:hAnsi="宋体"/>
          <w:sz w:val="24"/>
        </w:rPr>
      </w:pPr>
      <w:r>
        <w:rPr>
          <w:rFonts w:ascii="宋体" w:hAnsi="宋体"/>
          <w:sz w:val="24"/>
        </w:rPr>
        <w:t>《供应商须知资料表》规定的其他情形。</w:t>
      </w:r>
    </w:p>
    <w:p w14:paraId="183F7623">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响应有效期</w:t>
      </w:r>
    </w:p>
    <w:p w14:paraId="55A3E1DF">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0B1D1AF5">
      <w:pPr>
        <w:numPr>
          <w:ilvl w:val="0"/>
          <w:numId w:val="15"/>
        </w:numPr>
        <w:tabs>
          <w:tab w:val="left" w:pos="360"/>
        </w:tabs>
        <w:snapToGrid w:val="0"/>
        <w:spacing w:line="360" w:lineRule="auto"/>
        <w:ind w:left="357" w:hanging="357"/>
        <w:outlineLvl w:val="1"/>
        <w:rPr>
          <w:rFonts w:ascii="宋体" w:hAnsi="宋体"/>
          <w:sz w:val="24"/>
        </w:rPr>
      </w:pPr>
      <w:bookmarkStart w:id="308" w:name="_Toc226965723"/>
      <w:bookmarkStart w:id="309" w:name="_Toc150774633"/>
      <w:bookmarkStart w:id="310" w:name="_Toc149720826"/>
      <w:bookmarkStart w:id="311" w:name="_Toc150509284"/>
      <w:bookmarkStart w:id="312" w:name="_Toc127151734"/>
      <w:bookmarkStart w:id="313" w:name="_Toc164608647"/>
      <w:bookmarkStart w:id="314" w:name="_Toc520356158"/>
      <w:bookmarkStart w:id="315" w:name="_Toc151193631"/>
      <w:bookmarkStart w:id="316" w:name="_Toc226309777"/>
      <w:bookmarkStart w:id="317" w:name="_Toc142311035"/>
      <w:bookmarkStart w:id="318" w:name="_Toc151193921"/>
      <w:bookmarkStart w:id="319" w:name="_Toc127161447"/>
      <w:bookmarkStart w:id="320" w:name="_Toc305158875"/>
      <w:bookmarkStart w:id="321" w:name="_Toc164351627"/>
      <w:bookmarkStart w:id="322" w:name="_Toc151193703"/>
      <w:bookmarkStart w:id="323" w:name="_Toc151190160"/>
      <w:bookmarkStart w:id="324" w:name="_Toc151193847"/>
      <w:bookmarkStart w:id="325" w:name="_Toc150774738"/>
      <w:bookmarkStart w:id="326" w:name="_Toc264969223"/>
      <w:bookmarkStart w:id="327" w:name="_Toc151193775"/>
      <w:bookmarkStart w:id="328" w:name="_Toc226965806"/>
      <w:bookmarkStart w:id="329" w:name="_Toc127151533"/>
      <w:bookmarkStart w:id="330" w:name="_Toc226337229"/>
      <w:bookmarkStart w:id="331" w:name="_Toc164229228"/>
      <w:bookmarkStart w:id="332" w:name="_Toc164229374"/>
      <w:bookmarkStart w:id="333" w:name="_Toc265228371"/>
      <w:bookmarkStart w:id="334" w:name="_Toc195842898"/>
      <w:bookmarkStart w:id="335" w:name="_Toc164608802"/>
      <w:bookmarkStart w:id="336" w:name="_Toc305158801"/>
      <w:bookmarkStart w:id="337" w:name="_Toc150480771"/>
      <w:r>
        <w:rPr>
          <w:rFonts w:ascii="宋体" w:hAnsi="宋体"/>
          <w:sz w:val="24"/>
        </w:rPr>
        <w:t>响应文件的签署</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rFonts w:ascii="宋体" w:hAnsi="宋体"/>
          <w:sz w:val="24"/>
        </w:rPr>
        <w:t>、盖章</w:t>
      </w:r>
    </w:p>
    <w:p w14:paraId="769FCE8A">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bookmarkStart w:id="338" w:name="_Toc195842899"/>
      <w:bookmarkStart w:id="339" w:name="_Toc226337230"/>
      <w:bookmarkStart w:id="340" w:name="_Toc150509285"/>
      <w:bookmarkStart w:id="341" w:name="_Toc265228372"/>
      <w:bookmarkStart w:id="342" w:name="_Toc151193848"/>
      <w:bookmarkStart w:id="343" w:name="_Toc150774634"/>
      <w:bookmarkStart w:id="344" w:name="_Toc150774739"/>
      <w:bookmarkStart w:id="345" w:name="_Toc151193704"/>
      <w:bookmarkStart w:id="346" w:name="_Toc226965807"/>
      <w:bookmarkStart w:id="347" w:name="_Toc226965724"/>
      <w:bookmarkStart w:id="348" w:name="_Toc264969224"/>
      <w:bookmarkStart w:id="349" w:name="_Toc305158802"/>
      <w:bookmarkStart w:id="350" w:name="_Toc226309778"/>
      <w:bookmarkStart w:id="351" w:name="_Toc520356159"/>
      <w:bookmarkStart w:id="352" w:name="_Toc151193776"/>
      <w:bookmarkStart w:id="353" w:name="_Toc127151534"/>
      <w:bookmarkStart w:id="354" w:name="_Toc305158876"/>
      <w:bookmarkStart w:id="355" w:name="_Toc151193922"/>
      <w:bookmarkStart w:id="356" w:name="_Toc142311036"/>
      <w:bookmarkStart w:id="357" w:name="_Toc151190161"/>
      <w:bookmarkStart w:id="358" w:name="_Toc151193632"/>
      <w:bookmarkStart w:id="359" w:name="_Toc150480772"/>
      <w:r>
        <w:rPr>
          <w:rFonts w:hint="eastAsia" w:ascii="宋体" w:hAnsi="宋体" w:cs="宋体"/>
          <w:sz w:val="24"/>
        </w:rPr>
        <w:t xml:space="preserve">供应商应完整地按竞争性磋商文件提供的响应文件格式填写响应文件，响应文件按 A4 幅面装订（需以左侧形式装订，封面装订材料不限，但需装订紧密，不得松动、散落），需编写方便查阅的文件目录，并逐页标明页码。 </w:t>
      </w:r>
    </w:p>
    <w:p w14:paraId="6BC38468">
      <w:pPr>
        <w:numPr>
          <w:ilvl w:val="1"/>
          <w:numId w:val="15"/>
        </w:numPr>
        <w:tabs>
          <w:tab w:val="left" w:pos="1080"/>
          <w:tab w:val="left" w:pos="1589"/>
          <w:tab w:val="left" w:pos="2014"/>
          <w:tab w:val="clear" w:pos="1730"/>
        </w:tabs>
        <w:snapToGrid w:val="0"/>
        <w:spacing w:line="360" w:lineRule="auto"/>
        <w:ind w:left="1077" w:hanging="720"/>
        <w:rPr>
          <w:rFonts w:ascii="宋体" w:hAnsi="宋体" w:cs="宋体"/>
          <w:b/>
          <w:bCs/>
          <w:sz w:val="24"/>
        </w:rPr>
      </w:pPr>
      <w:r>
        <w:rPr>
          <w:rFonts w:hint="eastAsia" w:ascii="宋体" w:hAnsi="宋体" w:cs="宋体"/>
          <w:sz w:val="24"/>
        </w:rPr>
        <w:t>响应文件应提供</w:t>
      </w:r>
      <w:r>
        <w:rPr>
          <w:rFonts w:hint="eastAsia" w:ascii="宋体" w:hAnsi="宋体" w:cs="宋体"/>
          <w:b/>
          <w:bCs/>
          <w:sz w:val="24"/>
        </w:rPr>
        <w:t xml:space="preserve">正本 1 份，副本 </w:t>
      </w:r>
      <w:r>
        <w:rPr>
          <w:rFonts w:ascii="宋体" w:hAnsi="宋体" w:cs="宋体"/>
          <w:b/>
          <w:bCs/>
          <w:sz w:val="24"/>
        </w:rPr>
        <w:t>7</w:t>
      </w:r>
      <w:r>
        <w:rPr>
          <w:rFonts w:hint="eastAsia" w:ascii="宋体" w:hAnsi="宋体" w:cs="宋体"/>
          <w:b/>
          <w:bCs/>
          <w:sz w:val="24"/>
        </w:rPr>
        <w:t xml:space="preserve"> 份，</w:t>
      </w:r>
      <w:r>
        <w:rPr>
          <w:rFonts w:hint="eastAsia" w:ascii="宋体" w:hAnsi="宋体" w:cs="宋体"/>
          <w:b/>
          <w:sz w:val="24"/>
        </w:rPr>
        <w:t>报价一览表1份，</w:t>
      </w:r>
      <w:r>
        <w:rPr>
          <w:rFonts w:hint="eastAsia" w:ascii="宋体" w:hAnsi="宋体" w:cs="宋体"/>
          <w:b/>
          <w:bCs/>
          <w:sz w:val="24"/>
        </w:rPr>
        <w:t xml:space="preserve">电子版 </w:t>
      </w:r>
      <w:r>
        <w:rPr>
          <w:rFonts w:ascii="宋体" w:hAnsi="宋体" w:cs="宋体"/>
          <w:b/>
          <w:bCs/>
          <w:sz w:val="24"/>
        </w:rPr>
        <w:t>2</w:t>
      </w:r>
      <w:r>
        <w:rPr>
          <w:rFonts w:hint="eastAsia" w:ascii="宋体" w:hAnsi="宋体" w:cs="宋体"/>
          <w:b/>
          <w:bCs/>
          <w:sz w:val="24"/>
        </w:rPr>
        <w:t xml:space="preserve"> 份（U盘或光盘，签字并加盖公章的响应文件正本彩色的扫描件（PDF 格式）及电子版（Word格式）），每份响应文件须清楚地标明“正本”、“副本”、“电子版”。若正本和副本</w:t>
      </w:r>
      <w:r>
        <w:rPr>
          <w:rFonts w:hint="eastAsia" w:ascii="宋体" w:hAnsi="宋体" w:cs="宋体"/>
          <w:sz w:val="24"/>
        </w:rPr>
        <w:t>不符，以纸质正本为准。</w:t>
      </w:r>
    </w:p>
    <w:p w14:paraId="46BB88C9">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r>
        <w:rPr>
          <w:rFonts w:hint="eastAsia" w:ascii="宋体" w:hAnsi="宋体" w:cs="宋体"/>
          <w:sz w:val="24"/>
        </w:rPr>
        <w:t>《响应文件》的正本需打印或用不褪色墨水书写，并由供应商的法定代表人或经其正式授权的代表在响应文件上签字并加盖单位公章。授权代表须持有书面的“法定代表人授权书”（格式附后），并将其附在《响应文件》中。《响应文件》的副本可采用正本的复印件。</w:t>
      </w:r>
    </w:p>
    <w:p w14:paraId="237B5C5D">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r>
        <w:rPr>
          <w:rFonts w:hint="eastAsia" w:ascii="宋体" w:hAnsi="宋体" w:cs="宋体"/>
          <w:sz w:val="24"/>
        </w:rPr>
        <w:t>任何行间插字、涂改和增删，必须由签字或盖章后才有效。</w:t>
      </w:r>
    </w:p>
    <w:p w14:paraId="4E93315A">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r>
        <w:rPr>
          <w:rFonts w:hint="eastAsia" w:ascii="宋体" w:hAnsi="宋体" w:cs="宋体"/>
          <w:sz w:val="24"/>
        </w:rPr>
        <w:t>《响应文件》因字迹潦草或表达不清所引起的后果由供应商负责。</w:t>
      </w:r>
    </w:p>
    <w:p w14:paraId="7FD9342A">
      <w:pPr>
        <w:numPr>
          <w:ilvl w:val="1"/>
          <w:numId w:val="15"/>
        </w:numPr>
        <w:tabs>
          <w:tab w:val="left" w:pos="1080"/>
          <w:tab w:val="left" w:pos="1589"/>
          <w:tab w:val="left" w:pos="2014"/>
          <w:tab w:val="clear" w:pos="1730"/>
        </w:tabs>
        <w:snapToGrid w:val="0"/>
        <w:spacing w:line="360" w:lineRule="auto"/>
        <w:ind w:left="1077" w:hanging="720"/>
        <w:rPr>
          <w:rFonts w:ascii="宋体" w:hAnsi="宋体" w:cs="宋体"/>
          <w:b/>
          <w:bCs/>
          <w:sz w:val="24"/>
        </w:rPr>
      </w:pPr>
      <w:r>
        <w:rPr>
          <w:rFonts w:hint="eastAsia" w:ascii="宋体" w:hAnsi="宋体" w:cs="宋体"/>
          <w:sz w:val="24"/>
        </w:rPr>
        <w:t>供应商公章是指与供应商名称全称相一致的“行政公章”，不得加盖其他“合同专用章、投标专用章、财务专用章”等非行政公章；签字接受手签字或签名章或红色方章。</w:t>
      </w:r>
      <w:r>
        <w:rPr>
          <w:rFonts w:hint="eastAsia" w:ascii="宋体" w:hAnsi="宋体" w:cs="宋体"/>
          <w:b/>
          <w:bCs/>
          <w:sz w:val="24"/>
        </w:rPr>
        <w:t xml:space="preserve">不符合本条规定的投标作无效响应处理。 </w:t>
      </w:r>
    </w:p>
    <w:p w14:paraId="4AB333BB">
      <w:pPr>
        <w:pStyle w:val="4"/>
        <w:spacing w:before="0" w:line="360" w:lineRule="auto"/>
        <w:rPr>
          <w:rFonts w:ascii="宋体" w:hAnsi="宋体" w:eastAsia="宋体"/>
          <w:sz w:val="28"/>
        </w:rPr>
      </w:pPr>
      <w:r>
        <w:rPr>
          <w:rFonts w:ascii="宋体" w:hAnsi="宋体" w:eastAsia="宋体"/>
          <w:sz w:val="28"/>
        </w:rPr>
        <w:t>四   响应文件的提交</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57D46C2B">
      <w:pPr>
        <w:numPr>
          <w:ilvl w:val="0"/>
          <w:numId w:val="15"/>
        </w:numPr>
        <w:tabs>
          <w:tab w:val="left" w:pos="360"/>
        </w:tabs>
        <w:snapToGrid w:val="0"/>
        <w:spacing w:line="360" w:lineRule="auto"/>
        <w:ind w:left="357" w:hanging="357"/>
        <w:outlineLvl w:val="1"/>
        <w:rPr>
          <w:rFonts w:ascii="宋体" w:hAnsi="宋体"/>
          <w:sz w:val="24"/>
        </w:rPr>
      </w:pPr>
      <w:bookmarkStart w:id="360" w:name="_Toc164229230"/>
      <w:bookmarkStart w:id="361" w:name="_Toc151193633"/>
      <w:bookmarkStart w:id="362" w:name="_Toc520356160"/>
      <w:bookmarkStart w:id="363" w:name="_Toc150774740"/>
      <w:bookmarkStart w:id="364" w:name="_Toc151193849"/>
      <w:bookmarkStart w:id="365" w:name="_Toc195842900"/>
      <w:bookmarkStart w:id="366" w:name="_Toc151193705"/>
      <w:bookmarkStart w:id="367" w:name="_Toc226965808"/>
      <w:bookmarkStart w:id="368" w:name="_Toc164229376"/>
      <w:bookmarkStart w:id="369" w:name="_Toc305158803"/>
      <w:bookmarkStart w:id="370" w:name="_Toc164351629"/>
      <w:bookmarkStart w:id="371" w:name="_Toc150480773"/>
      <w:bookmarkStart w:id="372" w:name="_Toc151190162"/>
      <w:bookmarkStart w:id="373" w:name="_Toc226965725"/>
      <w:bookmarkStart w:id="374" w:name="_Toc264969225"/>
      <w:bookmarkStart w:id="375" w:name="_Toc265228373"/>
      <w:bookmarkStart w:id="376" w:name="_Toc149720828"/>
      <w:bookmarkStart w:id="377" w:name="_Toc127151736"/>
      <w:bookmarkStart w:id="378" w:name="_Toc142311037"/>
      <w:bookmarkStart w:id="379" w:name="_Toc150774635"/>
      <w:bookmarkStart w:id="380" w:name="_Toc226309779"/>
      <w:bookmarkStart w:id="381" w:name="_Toc305158877"/>
      <w:bookmarkStart w:id="382" w:name="_Toc127161449"/>
      <w:bookmarkStart w:id="383" w:name="_Toc150509286"/>
      <w:bookmarkStart w:id="384" w:name="_Toc226337231"/>
      <w:bookmarkStart w:id="385" w:name="_Toc151193777"/>
      <w:bookmarkStart w:id="386" w:name="_Toc127151535"/>
      <w:bookmarkStart w:id="387" w:name="_Toc151193923"/>
      <w:bookmarkStart w:id="388" w:name="_Toc164608649"/>
      <w:bookmarkStart w:id="389" w:name="_Toc164608804"/>
      <w:r>
        <w:rPr>
          <w:rFonts w:ascii="宋体" w:hAnsi="宋体"/>
          <w:sz w:val="24"/>
        </w:rPr>
        <w:t>响应文件的</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ascii="宋体" w:hAnsi="宋体"/>
          <w:sz w:val="24"/>
        </w:rPr>
        <w:t>提交</w:t>
      </w:r>
    </w:p>
    <w:p w14:paraId="0B46824B">
      <w:pPr>
        <w:numPr>
          <w:ilvl w:val="1"/>
          <w:numId w:val="15"/>
        </w:numPr>
        <w:tabs>
          <w:tab w:val="left" w:pos="1080"/>
          <w:tab w:val="left" w:pos="1589"/>
          <w:tab w:val="left" w:pos="2014"/>
          <w:tab w:val="clear" w:pos="1730"/>
        </w:tabs>
        <w:snapToGrid w:val="0"/>
        <w:spacing w:line="360" w:lineRule="auto"/>
        <w:ind w:left="1077" w:hanging="720"/>
        <w:rPr>
          <w:rFonts w:ascii="宋体" w:hAnsi="宋体" w:cs="宋体"/>
          <w:b/>
          <w:bCs/>
          <w:sz w:val="24"/>
        </w:rPr>
      </w:pPr>
      <w:bookmarkStart w:id="390" w:name="_Toc226337232"/>
      <w:bookmarkStart w:id="391" w:name="_Toc164351630"/>
      <w:bookmarkStart w:id="392" w:name="_Toc195842901"/>
      <w:bookmarkStart w:id="393" w:name="_Toc226965726"/>
      <w:bookmarkStart w:id="394" w:name="_Toc164608650"/>
      <w:bookmarkStart w:id="395" w:name="_Toc265228374"/>
      <w:bookmarkStart w:id="396" w:name="_Toc127151737"/>
      <w:bookmarkStart w:id="397" w:name="_Toc151190163"/>
      <w:bookmarkStart w:id="398" w:name="_Toc127161450"/>
      <w:bookmarkStart w:id="399" w:name="_Toc150774741"/>
      <w:bookmarkStart w:id="400" w:name="_Toc226965809"/>
      <w:bookmarkStart w:id="401" w:name="_Toc150774636"/>
      <w:bookmarkStart w:id="402" w:name="_Toc264969226"/>
      <w:bookmarkStart w:id="403" w:name="_Toc520356161"/>
      <w:bookmarkStart w:id="404" w:name="_Toc150509287"/>
      <w:bookmarkStart w:id="405" w:name="_Toc151193634"/>
      <w:bookmarkStart w:id="406" w:name="_Toc149720829"/>
      <w:bookmarkStart w:id="407" w:name="_Toc164229377"/>
      <w:bookmarkStart w:id="408" w:name="_Toc151193924"/>
      <w:bookmarkStart w:id="409" w:name="_Toc164229231"/>
      <w:bookmarkStart w:id="410" w:name="_Toc164608805"/>
      <w:bookmarkStart w:id="411" w:name="_Toc151193850"/>
      <w:bookmarkStart w:id="412" w:name="_Toc151193706"/>
      <w:bookmarkStart w:id="413" w:name="_Toc226309780"/>
      <w:bookmarkStart w:id="414" w:name="_Toc305158878"/>
      <w:bookmarkStart w:id="415" w:name="_Toc151193778"/>
      <w:bookmarkStart w:id="416" w:name="_Toc127151536"/>
      <w:bookmarkStart w:id="417" w:name="_Toc150480774"/>
      <w:bookmarkStart w:id="418" w:name="_Toc305158804"/>
      <w:bookmarkStart w:id="419" w:name="_Toc142311038"/>
      <w:r>
        <w:rPr>
          <w:rFonts w:hint="eastAsia" w:ascii="宋体" w:hAnsi="宋体" w:cs="宋体"/>
          <w:sz w:val="24"/>
        </w:rPr>
        <w:t>《响应文件》应采用左侧装订成册，活页等非固定装订的《响应文件》将被拒绝或被视为无效。送达《响应文件》时，供应商应将《响应文件》密封。</w:t>
      </w:r>
      <w:r>
        <w:rPr>
          <w:rFonts w:hint="eastAsia" w:ascii="宋体" w:hAnsi="宋体" w:cs="宋体"/>
          <w:b/>
          <w:bCs/>
          <w:sz w:val="24"/>
        </w:rPr>
        <w:t>《响应文件》正本和副本单独密封，响应文件电子版和正本密封一包，且在封面标明“正本”“副本”字样。</w:t>
      </w:r>
    </w:p>
    <w:p w14:paraId="2B013477">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r>
        <w:rPr>
          <w:rFonts w:hint="eastAsia" w:ascii="宋体" w:hAnsi="宋体" w:cs="宋体"/>
          <w:sz w:val="24"/>
        </w:rPr>
        <w:t>所有密封包装上均应：</w:t>
      </w:r>
    </w:p>
    <w:p w14:paraId="68467C10">
      <w:pPr>
        <w:tabs>
          <w:tab w:val="left" w:pos="1080"/>
          <w:tab w:val="left" w:pos="2014"/>
        </w:tabs>
        <w:snapToGrid w:val="0"/>
        <w:spacing w:line="360" w:lineRule="auto"/>
        <w:ind w:left="1080" w:leftChars="400" w:hanging="240" w:hangingChars="100"/>
        <w:rPr>
          <w:rFonts w:ascii="宋体" w:hAnsi="宋体" w:cs="宋体"/>
          <w:sz w:val="24"/>
        </w:rPr>
      </w:pPr>
      <w:r>
        <w:rPr>
          <w:rFonts w:hint="eastAsia" w:ascii="宋体" w:hAnsi="宋体" w:cs="宋体"/>
          <w:sz w:val="24"/>
        </w:rPr>
        <w:t>（1）标明项目名称、项目编号/包号和“在20**年**月**日****之前（开标时间）不得启封”的字样。</w:t>
      </w:r>
    </w:p>
    <w:p w14:paraId="731272E9">
      <w:pPr>
        <w:tabs>
          <w:tab w:val="left" w:pos="1080"/>
          <w:tab w:val="left" w:pos="2014"/>
        </w:tabs>
        <w:snapToGrid w:val="0"/>
        <w:spacing w:line="360" w:lineRule="auto"/>
        <w:ind w:left="357" w:firstLine="480" w:firstLineChars="200"/>
        <w:rPr>
          <w:rFonts w:ascii="宋体" w:hAnsi="宋体" w:cs="宋体"/>
          <w:sz w:val="24"/>
        </w:rPr>
      </w:pPr>
      <w:r>
        <w:rPr>
          <w:rFonts w:hint="eastAsia" w:ascii="宋体" w:hAnsi="宋体" w:cs="宋体"/>
          <w:sz w:val="24"/>
        </w:rPr>
        <w:t>（2）在封装处加盖供应商单位公章。</w:t>
      </w:r>
    </w:p>
    <w:p w14:paraId="25CF5393">
      <w:pPr>
        <w:tabs>
          <w:tab w:val="left" w:pos="1080"/>
          <w:tab w:val="left" w:pos="2014"/>
        </w:tabs>
        <w:snapToGrid w:val="0"/>
        <w:spacing w:line="360" w:lineRule="auto"/>
        <w:ind w:left="1080" w:leftChars="400" w:hanging="240" w:hangingChars="100"/>
        <w:rPr>
          <w:rFonts w:ascii="宋体" w:hAnsi="宋体" w:cs="宋体"/>
          <w:sz w:val="24"/>
        </w:rPr>
      </w:pPr>
      <w:r>
        <w:rPr>
          <w:rFonts w:hint="eastAsia" w:ascii="宋体" w:hAnsi="宋体" w:cs="宋体"/>
          <w:sz w:val="24"/>
        </w:rPr>
        <w:t>（3）密封包装上还应写明供应商名称和地址，以便若其报价被宣布为“迟到”报价时，能原封退回。</w:t>
      </w:r>
    </w:p>
    <w:p w14:paraId="1DC5FCDB">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r>
        <w:rPr>
          <w:rFonts w:hint="eastAsia" w:ascii="宋体" w:hAnsi="宋体" w:cs="宋体"/>
          <w:sz w:val="24"/>
        </w:rPr>
        <w:t>如果供应商未按上述要求密封及加写标记，采购人和代理机构有权拒绝《响应文件》。</w:t>
      </w:r>
    </w:p>
    <w:p w14:paraId="4F8217DA">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响应文件截止</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Fonts w:ascii="宋体" w:hAnsi="宋体"/>
          <w:sz w:val="24"/>
        </w:rPr>
        <w:t>时间</w:t>
      </w:r>
    </w:p>
    <w:p w14:paraId="4CD9EC2C">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bookmarkStart w:id="420" w:name="_Toc127151738"/>
      <w:bookmarkStart w:id="421" w:name="_Toc305158879"/>
      <w:bookmarkStart w:id="422" w:name="_Toc195842902"/>
      <w:bookmarkStart w:id="423" w:name="_Toc164229378"/>
      <w:bookmarkStart w:id="424" w:name="_Toc142311039"/>
      <w:bookmarkStart w:id="425" w:name="_Toc150774637"/>
      <w:bookmarkStart w:id="426" w:name="_Toc226337233"/>
      <w:bookmarkStart w:id="427" w:name="_Toc150509288"/>
      <w:bookmarkStart w:id="428" w:name="_Toc264969227"/>
      <w:bookmarkStart w:id="429" w:name="_Toc150774742"/>
      <w:bookmarkStart w:id="430" w:name="_Toc149720830"/>
      <w:bookmarkStart w:id="431" w:name="_Toc151193707"/>
      <w:bookmarkStart w:id="432" w:name="_Toc164229232"/>
      <w:bookmarkStart w:id="433" w:name="_Toc151193925"/>
      <w:bookmarkStart w:id="434" w:name="_Toc520356162"/>
      <w:bookmarkStart w:id="435" w:name="_Toc164608806"/>
      <w:bookmarkStart w:id="436" w:name="_Toc164608651"/>
      <w:bookmarkStart w:id="437" w:name="_Toc151193851"/>
      <w:bookmarkStart w:id="438" w:name="_Toc151190164"/>
      <w:bookmarkStart w:id="439" w:name="_Toc127151537"/>
      <w:bookmarkStart w:id="440" w:name="_Toc127161451"/>
      <w:bookmarkStart w:id="441" w:name="_Toc305158805"/>
      <w:bookmarkStart w:id="442" w:name="_Toc151193635"/>
      <w:bookmarkStart w:id="443" w:name="_Toc164351631"/>
      <w:bookmarkStart w:id="444" w:name="_Toc150480775"/>
      <w:bookmarkStart w:id="445" w:name="_Toc226965727"/>
      <w:bookmarkStart w:id="446" w:name="_Toc151193779"/>
      <w:bookmarkStart w:id="447" w:name="_Toc265228375"/>
      <w:bookmarkStart w:id="448" w:name="_Toc226965810"/>
      <w:bookmarkStart w:id="449" w:name="_Toc226309781"/>
      <w:r>
        <w:rPr>
          <w:rFonts w:hint="eastAsia" w:ascii="宋体" w:hAnsi="宋体" w:cs="宋体"/>
          <w:sz w:val="24"/>
        </w:rPr>
        <w:t>供应商应在磋商公告中规定的《响应文件》送达截止日期和时间内，将《响应文件》递交磋商文件规定的地点。</w:t>
      </w:r>
    </w:p>
    <w:p w14:paraId="5F4635FD">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r>
        <w:rPr>
          <w:rFonts w:hint="eastAsia" w:ascii="宋体" w:hAnsi="宋体" w:cs="宋体"/>
          <w:sz w:val="24"/>
        </w:rPr>
        <w:t>采购人及代理机构有权按本须知的规定，通过修改《磋商文件》延长响应文件送达截止日期和时间。在此情况下，采购人及代理机构和供应商受截止日期和时间制约的所有权利和义务均应延长至新的截止日期和时间。</w:t>
      </w:r>
    </w:p>
    <w:p w14:paraId="23921B3B">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r>
        <w:rPr>
          <w:rFonts w:hint="eastAsia" w:ascii="宋体" w:hAnsi="宋体" w:cs="宋体"/>
          <w:sz w:val="24"/>
        </w:rPr>
        <w:t>采购人及代理机构将拒收并原封退回在本须知规定的《响应文件》送达截止日期和时间后收到的任何《响应文件》。</w:t>
      </w:r>
    </w:p>
    <w:p w14:paraId="372B64A0">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响应文件的修改与撤回</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6C01ED3">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响应文件提交截止时间前，供应商可以对所提交的响应文件进行补充、修改或者撤回。</w:t>
      </w:r>
    </w:p>
    <w:p w14:paraId="636B502E">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14:paraId="26EFD226">
      <w:pPr>
        <w:pStyle w:val="4"/>
        <w:spacing w:before="0" w:line="360" w:lineRule="auto"/>
        <w:rPr>
          <w:rFonts w:ascii="宋体" w:hAnsi="宋体" w:eastAsia="宋体"/>
          <w:sz w:val="28"/>
        </w:rPr>
      </w:pPr>
      <w:bookmarkStart w:id="450" w:name="_Toc264969228"/>
      <w:bookmarkStart w:id="451" w:name="_Toc151193926"/>
      <w:bookmarkStart w:id="452" w:name="_Toc151190165"/>
      <w:bookmarkStart w:id="453" w:name="_Toc151193852"/>
      <w:bookmarkStart w:id="454" w:name="_Toc305158806"/>
      <w:bookmarkStart w:id="455" w:name="_Toc226309782"/>
      <w:bookmarkStart w:id="456" w:name="_Toc151193636"/>
      <w:bookmarkStart w:id="457" w:name="_Toc142311040"/>
      <w:bookmarkStart w:id="458" w:name="_Toc226965811"/>
      <w:bookmarkStart w:id="459" w:name="_Toc520356163"/>
      <w:bookmarkStart w:id="460" w:name="_Toc226965728"/>
      <w:bookmarkStart w:id="461" w:name="_Toc127151538"/>
      <w:bookmarkStart w:id="462" w:name="_Toc150774638"/>
      <w:bookmarkStart w:id="463" w:name="_Toc305158880"/>
      <w:bookmarkStart w:id="464" w:name="_Toc151193708"/>
      <w:bookmarkStart w:id="465" w:name="_Toc150774743"/>
      <w:bookmarkStart w:id="466" w:name="_Toc265228376"/>
      <w:bookmarkStart w:id="467" w:name="_Toc150480776"/>
      <w:bookmarkStart w:id="468" w:name="_Toc151193780"/>
      <w:bookmarkStart w:id="469" w:name="_Toc226337234"/>
      <w:bookmarkStart w:id="470" w:name="_Toc150509289"/>
      <w:bookmarkStart w:id="471" w:name="_Toc195842903"/>
      <w:r>
        <w:rPr>
          <w:rFonts w:ascii="宋体" w:hAnsi="宋体" w:eastAsia="宋体"/>
          <w:sz w:val="28"/>
        </w:rPr>
        <w:t xml:space="preserve">五   </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ascii="宋体" w:hAnsi="宋体" w:eastAsia="宋体"/>
          <w:sz w:val="28"/>
        </w:rPr>
        <w:t>评审</w:t>
      </w:r>
    </w:p>
    <w:p w14:paraId="595DC2B0">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响应文件的开启</w:t>
      </w:r>
    </w:p>
    <w:p w14:paraId="7D02AD54">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6AC07616">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47F0C85">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r>
        <w:rPr>
          <w:rFonts w:hint="eastAsia" w:ascii="宋体" w:hAnsi="宋体" w:cs="宋体"/>
          <w:sz w:val="24"/>
        </w:rPr>
        <w:t>供应商不足3家的，不予开启响应文件。</w:t>
      </w:r>
    </w:p>
    <w:p w14:paraId="4910450C">
      <w:pPr>
        <w:numPr>
          <w:ilvl w:val="1"/>
          <w:numId w:val="15"/>
        </w:numPr>
        <w:tabs>
          <w:tab w:val="left" w:pos="1080"/>
          <w:tab w:val="left" w:pos="1589"/>
          <w:tab w:val="left" w:pos="2014"/>
          <w:tab w:val="clear" w:pos="1730"/>
        </w:tabs>
        <w:snapToGrid w:val="0"/>
        <w:spacing w:line="360" w:lineRule="auto"/>
        <w:ind w:left="1077" w:hanging="720"/>
        <w:rPr>
          <w:rFonts w:ascii="宋体" w:hAnsi="宋体" w:cs="宋体"/>
          <w:sz w:val="24"/>
        </w:rPr>
      </w:pPr>
      <w:bookmarkStart w:id="472" w:name="_Toc520356165"/>
      <w:r>
        <w:rPr>
          <w:rFonts w:hint="eastAsia" w:ascii="宋体" w:hAnsi="宋体" w:cs="宋体"/>
          <w:sz w:val="24"/>
        </w:rPr>
        <w:t>本项目不公开报价。</w:t>
      </w:r>
    </w:p>
    <w:bookmarkEnd w:id="472"/>
    <w:p w14:paraId="1035CB95">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磋商小组</w:t>
      </w:r>
    </w:p>
    <w:p w14:paraId="7ACFCE05">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磋商小组根据本次采购项目的特点进行组建，并负责具体评审事务，独立履行职责。</w:t>
      </w:r>
      <w:bookmarkStart w:id="473" w:name="_Toc520356166"/>
    </w:p>
    <w:p w14:paraId="111F8D2E">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w:t>
      </w:r>
      <w:r>
        <w:rPr>
          <w:rFonts w:hint="eastAsia" w:ascii="宋体" w:hAnsi="宋体"/>
          <w:sz w:val="24"/>
        </w:rPr>
        <w:t>本次磋商</w:t>
      </w:r>
      <w:r>
        <w:rPr>
          <w:rFonts w:ascii="宋体" w:hAnsi="宋体"/>
          <w:sz w:val="24"/>
        </w:rPr>
        <w:t>。</w:t>
      </w:r>
      <w:bookmarkEnd w:id="473"/>
      <w:bookmarkStart w:id="474" w:name="_Toc520356169"/>
    </w:p>
    <w:p w14:paraId="78939700">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hint="eastAsia" w:ascii="宋体" w:hAnsi="宋体"/>
          <w:sz w:val="24"/>
        </w:rPr>
        <w:t>磋商小组成员构成：7人；采购人代表2人，其余5人依法邀请产生，其中经济专家2人，技术专家3人。</w:t>
      </w:r>
    </w:p>
    <w:p w14:paraId="0277DED4">
      <w:pPr>
        <w:numPr>
          <w:ilvl w:val="0"/>
          <w:numId w:val="15"/>
        </w:numPr>
        <w:tabs>
          <w:tab w:val="left" w:pos="360"/>
        </w:tabs>
        <w:snapToGrid w:val="0"/>
        <w:spacing w:line="360" w:lineRule="auto"/>
        <w:outlineLvl w:val="1"/>
        <w:rPr>
          <w:rFonts w:ascii="宋体" w:hAnsi="宋体"/>
          <w:sz w:val="24"/>
        </w:rPr>
      </w:pPr>
      <w:r>
        <w:rPr>
          <w:rFonts w:ascii="宋体" w:hAnsi="宋体"/>
          <w:sz w:val="24"/>
        </w:rPr>
        <w:t>评审方法和评审标准</w:t>
      </w:r>
    </w:p>
    <w:p w14:paraId="4BAC1892">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见第三章《评审方法和评审标准》。</w:t>
      </w:r>
    </w:p>
    <w:p w14:paraId="243783AB">
      <w:pPr>
        <w:pStyle w:val="4"/>
        <w:spacing w:before="0" w:line="360" w:lineRule="auto"/>
        <w:rPr>
          <w:rFonts w:ascii="宋体" w:hAnsi="宋体" w:eastAsia="宋体"/>
          <w:sz w:val="28"/>
        </w:rPr>
      </w:pPr>
      <w:bookmarkStart w:id="475" w:name="_Toc150774750"/>
      <w:bookmarkStart w:id="476" w:name="_Toc265228383"/>
      <w:bookmarkStart w:id="477" w:name="_Toc305158813"/>
      <w:bookmarkStart w:id="478" w:name="_Toc150509296"/>
      <w:bookmarkStart w:id="479" w:name="_Toc226309789"/>
      <w:bookmarkStart w:id="480" w:name="_Toc226965818"/>
      <w:bookmarkStart w:id="481" w:name="_Toc305158887"/>
      <w:bookmarkStart w:id="482" w:name="_Toc151193715"/>
      <w:bookmarkStart w:id="483" w:name="_Toc151193643"/>
      <w:bookmarkStart w:id="484" w:name="_Toc142311047"/>
      <w:bookmarkStart w:id="485" w:name="_Toc127151545"/>
      <w:bookmarkStart w:id="486" w:name="_Toc151190172"/>
      <w:bookmarkStart w:id="487" w:name="_Toc226965735"/>
      <w:bookmarkStart w:id="488" w:name="_Toc226337241"/>
      <w:bookmarkStart w:id="489" w:name="_Toc150480783"/>
      <w:bookmarkStart w:id="490" w:name="_Toc150774645"/>
      <w:bookmarkStart w:id="491" w:name="_Toc195842910"/>
      <w:bookmarkStart w:id="492" w:name="_Toc151193859"/>
      <w:bookmarkStart w:id="493" w:name="_Toc151193787"/>
      <w:bookmarkStart w:id="494" w:name="_Toc151193933"/>
      <w:bookmarkStart w:id="495" w:name="_Toc264969235"/>
      <w:r>
        <w:rPr>
          <w:rFonts w:ascii="宋体" w:hAnsi="宋体" w:eastAsia="宋体"/>
          <w:sz w:val="28"/>
        </w:rPr>
        <w:t xml:space="preserve">六   </w:t>
      </w:r>
      <w:bookmarkEnd w:id="474"/>
      <w:r>
        <w:rPr>
          <w:rFonts w:ascii="宋体" w:hAnsi="宋体" w:eastAsia="宋体"/>
          <w:sz w:val="28"/>
        </w:rPr>
        <w:t>确定</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Fonts w:ascii="宋体" w:hAnsi="宋体" w:eastAsia="宋体"/>
          <w:sz w:val="28"/>
        </w:rPr>
        <w:t>成交</w:t>
      </w:r>
    </w:p>
    <w:p w14:paraId="00C2ED73">
      <w:pPr>
        <w:numPr>
          <w:ilvl w:val="0"/>
          <w:numId w:val="15"/>
        </w:numPr>
        <w:tabs>
          <w:tab w:val="left" w:pos="360"/>
        </w:tabs>
        <w:snapToGrid w:val="0"/>
        <w:spacing w:line="360" w:lineRule="auto"/>
        <w:ind w:left="357" w:hanging="357"/>
        <w:outlineLvl w:val="1"/>
        <w:rPr>
          <w:rFonts w:ascii="宋体" w:hAnsi="宋体"/>
          <w:sz w:val="24"/>
        </w:rPr>
      </w:pPr>
      <w:bookmarkStart w:id="496" w:name="_Toc164229388"/>
      <w:bookmarkStart w:id="497" w:name="_Toc151193935"/>
      <w:bookmarkStart w:id="498" w:name="_Toc195842912"/>
      <w:bookmarkStart w:id="499" w:name="_Toc305158815"/>
      <w:bookmarkStart w:id="500" w:name="_Toc226965737"/>
      <w:bookmarkStart w:id="501" w:name="_Toc226965820"/>
      <w:bookmarkStart w:id="502" w:name="_Toc127161461"/>
      <w:bookmarkStart w:id="503" w:name="_Toc226309791"/>
      <w:bookmarkStart w:id="504" w:name="_Toc305158889"/>
      <w:bookmarkStart w:id="505" w:name="_Toc142311049"/>
      <w:bookmarkStart w:id="506" w:name="_Toc164608816"/>
      <w:bookmarkStart w:id="507" w:name="_Toc151193717"/>
      <w:bookmarkStart w:id="508" w:name="_Toc226337243"/>
      <w:bookmarkStart w:id="509" w:name="_Toc127151748"/>
      <w:bookmarkStart w:id="510" w:name="_Toc151193789"/>
      <w:bookmarkStart w:id="511" w:name="_Toc150774647"/>
      <w:bookmarkStart w:id="512" w:name="_Toc164351641"/>
      <w:bookmarkStart w:id="513" w:name="_Toc164608661"/>
      <w:bookmarkStart w:id="514" w:name="_Toc265228385"/>
      <w:bookmarkStart w:id="515" w:name="_Toc264969237"/>
      <w:bookmarkStart w:id="516" w:name="_Toc151190174"/>
      <w:bookmarkStart w:id="517" w:name="_Toc164229242"/>
      <w:bookmarkStart w:id="518" w:name="_Toc151193645"/>
      <w:bookmarkStart w:id="519" w:name="_Toc150509298"/>
      <w:bookmarkStart w:id="520" w:name="_Toc150480785"/>
      <w:bookmarkStart w:id="521" w:name="_Toc149720840"/>
      <w:bookmarkStart w:id="522" w:name="_Toc150774752"/>
      <w:bookmarkStart w:id="523" w:name="_Toc151193861"/>
      <w:bookmarkStart w:id="524" w:name="_Toc127151547"/>
      <w:r>
        <w:rPr>
          <w:rFonts w:ascii="宋体" w:hAnsi="宋体"/>
          <w:sz w:val="24"/>
        </w:rPr>
        <w:t>确定成交供应商</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511BFC57">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采购人将在收到评审报告后，从评审报告提出的成交候选供应商中，按照排序由高到低的原则确定成交供应商</w:t>
      </w:r>
      <w:r>
        <w:rPr>
          <w:rFonts w:hint="eastAsia" w:ascii="宋体" w:hAnsi="宋体"/>
          <w:sz w:val="24"/>
        </w:rPr>
        <w:t>。</w:t>
      </w:r>
      <w:r>
        <w:rPr>
          <w:rFonts w:ascii="宋体" w:hAnsi="宋体"/>
          <w:sz w:val="24"/>
        </w:rPr>
        <w:t>采购人是否授权</w:t>
      </w:r>
      <w:r>
        <w:rPr>
          <w:rFonts w:hint="eastAsia" w:ascii="宋体" w:hAnsi="宋体"/>
          <w:sz w:val="24"/>
        </w:rPr>
        <w:t>磋商</w:t>
      </w:r>
      <w:r>
        <w:rPr>
          <w:rFonts w:ascii="宋体" w:hAnsi="宋体"/>
          <w:sz w:val="24"/>
        </w:rPr>
        <w:t>小组直接确定成交供应商，见《供应商须知资料表》。成交候选人并列的，按照《供应商须知资料表》要求确定成交供应商。</w:t>
      </w:r>
    </w:p>
    <w:p w14:paraId="39AC6BDA">
      <w:pPr>
        <w:numPr>
          <w:ilvl w:val="0"/>
          <w:numId w:val="15"/>
        </w:numPr>
        <w:tabs>
          <w:tab w:val="left" w:pos="360"/>
        </w:tabs>
        <w:snapToGrid w:val="0"/>
        <w:spacing w:line="360" w:lineRule="auto"/>
        <w:ind w:left="357" w:hanging="357"/>
        <w:outlineLvl w:val="1"/>
        <w:rPr>
          <w:rFonts w:ascii="宋体" w:hAnsi="宋体"/>
          <w:sz w:val="24"/>
        </w:rPr>
      </w:pPr>
      <w:bookmarkStart w:id="525" w:name="_Toc305158817"/>
      <w:bookmarkStart w:id="526" w:name="_Toc305158891"/>
      <w:bookmarkStart w:id="527" w:name="_Toc142311051"/>
      <w:bookmarkStart w:id="528" w:name="_Toc150480787"/>
      <w:bookmarkStart w:id="529" w:name="_Toc164351643"/>
      <w:bookmarkStart w:id="530" w:name="_Toc151193863"/>
      <w:bookmarkStart w:id="531" w:name="_Toc150774649"/>
      <w:bookmarkStart w:id="532" w:name="_Toc164229390"/>
      <w:bookmarkStart w:id="533" w:name="_Toc151193719"/>
      <w:bookmarkStart w:id="534" w:name="_Toc164229244"/>
      <w:bookmarkStart w:id="535" w:name="_Toc151193791"/>
      <w:bookmarkStart w:id="536" w:name="_Toc265228387"/>
      <w:bookmarkStart w:id="537" w:name="_Toc226965739"/>
      <w:bookmarkStart w:id="538" w:name="_Toc151193937"/>
      <w:bookmarkStart w:id="539" w:name="_Toc151190176"/>
      <w:bookmarkStart w:id="540" w:name="_Toc164608818"/>
      <w:bookmarkStart w:id="541" w:name="_Toc195842914"/>
      <w:bookmarkStart w:id="542" w:name="_Toc150774754"/>
      <w:bookmarkStart w:id="543" w:name="_Toc264969239"/>
      <w:bookmarkStart w:id="544" w:name="_Toc149720842"/>
      <w:bookmarkStart w:id="545" w:name="_Toc127161463"/>
      <w:bookmarkStart w:id="546" w:name="_Toc151193647"/>
      <w:bookmarkStart w:id="547" w:name="_Toc150509300"/>
      <w:bookmarkStart w:id="548" w:name="_Toc226965822"/>
      <w:bookmarkStart w:id="549" w:name="_Toc226309793"/>
      <w:bookmarkStart w:id="550" w:name="_Toc127151549"/>
      <w:bookmarkStart w:id="551" w:name="_Toc226337245"/>
      <w:bookmarkStart w:id="552" w:name="_Toc127151750"/>
      <w:bookmarkStart w:id="553" w:name="_Toc164608663"/>
      <w:bookmarkStart w:id="554" w:name="_Ref467306425"/>
      <w:bookmarkStart w:id="555" w:name="_Toc520356176"/>
      <w:bookmarkStart w:id="556" w:name="_Ref467307090"/>
      <w:r>
        <w:rPr>
          <w:rFonts w:ascii="宋体" w:hAnsi="宋体"/>
          <w:sz w:val="24"/>
        </w:rPr>
        <w:t>成交公告与成交通知书</w:t>
      </w:r>
      <w:bookmarkEnd w:id="525"/>
      <w:bookmarkEnd w:id="526"/>
    </w:p>
    <w:p w14:paraId="26B24BC2">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采购人或采购代理机构将</w:t>
      </w:r>
      <w:r>
        <w:rPr>
          <w:rFonts w:ascii="宋体" w:hAnsi="宋体"/>
          <w:kern w:val="0"/>
          <w:sz w:val="24"/>
        </w:rPr>
        <w:t>在成交供应商确定后2个工作日内，向成交供应商发出成交通知书，</w:t>
      </w:r>
      <w:r>
        <w:rPr>
          <w:rFonts w:ascii="宋体" w:hAnsi="宋体"/>
          <w:sz w:val="24"/>
        </w:rPr>
        <w:t>成交公告期限为1个工作日。</w:t>
      </w:r>
    </w:p>
    <w:p w14:paraId="211128D8">
      <w:pPr>
        <w:numPr>
          <w:ilvl w:val="1"/>
          <w:numId w:val="15"/>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hint="eastAsia" w:ascii="宋体" w:hAnsi="宋体"/>
          <w:sz w:val="24"/>
        </w:rPr>
        <w:t>。</w:t>
      </w:r>
    </w:p>
    <w:p w14:paraId="2A58B85E">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终止</w:t>
      </w:r>
    </w:p>
    <w:p w14:paraId="28A5B615">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在采购中，出现下列情形之一的，采购人或采购代理机构将终止竞争性磋商采购活动，发布项目终止公告并说明原因，重新开展采购活动：</w:t>
      </w:r>
    </w:p>
    <w:p w14:paraId="7847057D">
      <w:pPr>
        <w:numPr>
          <w:ilvl w:val="2"/>
          <w:numId w:val="15"/>
        </w:numPr>
        <w:snapToGrid w:val="0"/>
        <w:spacing w:line="360" w:lineRule="auto"/>
        <w:rPr>
          <w:rFonts w:ascii="宋体" w:hAnsi="宋体"/>
          <w:sz w:val="24"/>
        </w:rPr>
      </w:pPr>
      <w:r>
        <w:rPr>
          <w:rFonts w:ascii="宋体" w:hAnsi="宋体"/>
          <w:sz w:val="24"/>
        </w:rPr>
        <w:t>因情况变化，不再符合规定的竞争性磋商采购方式适用情形的；</w:t>
      </w:r>
    </w:p>
    <w:p w14:paraId="57AA7FA6">
      <w:pPr>
        <w:numPr>
          <w:ilvl w:val="2"/>
          <w:numId w:val="15"/>
        </w:numPr>
        <w:snapToGrid w:val="0"/>
        <w:spacing w:line="360" w:lineRule="auto"/>
        <w:rPr>
          <w:rFonts w:ascii="宋体" w:hAnsi="宋体"/>
          <w:sz w:val="24"/>
        </w:rPr>
      </w:pPr>
      <w:r>
        <w:rPr>
          <w:rFonts w:ascii="宋体" w:hAnsi="宋体"/>
          <w:sz w:val="24"/>
        </w:rPr>
        <w:t>出现影响采购公正的违法、违规行为的；</w:t>
      </w:r>
    </w:p>
    <w:p w14:paraId="42EFEB3B">
      <w:pPr>
        <w:numPr>
          <w:ilvl w:val="2"/>
          <w:numId w:val="15"/>
        </w:numPr>
        <w:snapToGrid w:val="0"/>
        <w:spacing w:line="360" w:lineRule="auto"/>
        <w:rPr>
          <w:rFonts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14:paraId="09200DCE">
      <w:pPr>
        <w:numPr>
          <w:ilvl w:val="0"/>
          <w:numId w:val="15"/>
        </w:numPr>
        <w:tabs>
          <w:tab w:val="left" w:pos="360"/>
        </w:tabs>
        <w:snapToGrid w:val="0"/>
        <w:spacing w:line="360" w:lineRule="auto"/>
        <w:ind w:left="357" w:hanging="357"/>
        <w:outlineLvl w:val="1"/>
        <w:rPr>
          <w:rFonts w:ascii="宋体" w:hAnsi="宋体"/>
          <w:sz w:val="24"/>
        </w:rPr>
      </w:pPr>
      <w:bookmarkStart w:id="557" w:name="_Toc226965740"/>
      <w:bookmarkStart w:id="558" w:name="_Toc264969240"/>
      <w:bookmarkStart w:id="559" w:name="_Toc164229245"/>
      <w:bookmarkStart w:id="560" w:name="_Toc305158892"/>
      <w:bookmarkStart w:id="561" w:name="_Toc151190177"/>
      <w:bookmarkStart w:id="562" w:name="_Toc226965823"/>
      <w:bookmarkStart w:id="563" w:name="_Toc150509301"/>
      <w:bookmarkStart w:id="564" w:name="_Toc127151550"/>
      <w:bookmarkStart w:id="565" w:name="_Ref467307204"/>
      <w:bookmarkStart w:id="566" w:name="_Toc127151751"/>
      <w:bookmarkStart w:id="567" w:name="_Toc150774755"/>
      <w:bookmarkStart w:id="568" w:name="_Toc151193864"/>
      <w:bookmarkStart w:id="569" w:name="_Toc151193938"/>
      <w:bookmarkStart w:id="570" w:name="_Toc265228388"/>
      <w:bookmarkStart w:id="571" w:name="_Toc164229391"/>
      <w:bookmarkStart w:id="572" w:name="_Toc520356175"/>
      <w:bookmarkStart w:id="573" w:name="_Ref467307062"/>
      <w:bookmarkStart w:id="574" w:name="_Toc151193648"/>
      <w:bookmarkStart w:id="575" w:name="_Toc226337246"/>
      <w:bookmarkStart w:id="576" w:name="_Ref467306377"/>
      <w:bookmarkStart w:id="577" w:name="_Toc151193720"/>
      <w:bookmarkStart w:id="578" w:name="_Toc150774650"/>
      <w:bookmarkStart w:id="579" w:name="_Toc164351644"/>
      <w:bookmarkStart w:id="580" w:name="_Toc305158818"/>
      <w:bookmarkStart w:id="581" w:name="_Toc151193792"/>
      <w:bookmarkStart w:id="582" w:name="_Toc150480788"/>
      <w:bookmarkStart w:id="583" w:name="_Toc164608664"/>
      <w:bookmarkStart w:id="584" w:name="_Toc127161464"/>
      <w:bookmarkStart w:id="585" w:name="_Toc164608819"/>
      <w:bookmarkStart w:id="586" w:name="_Toc195842915"/>
      <w:bookmarkStart w:id="587" w:name="_Ref467306978"/>
      <w:bookmarkStart w:id="588" w:name="_Toc142311052"/>
      <w:bookmarkStart w:id="589" w:name="_Toc226309794"/>
      <w:bookmarkStart w:id="590" w:name="_Toc149720843"/>
      <w:r>
        <w:rPr>
          <w:rFonts w:ascii="宋体" w:hAnsi="宋体"/>
          <w:sz w:val="24"/>
        </w:rPr>
        <w:t>签订合同</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2DBE435F">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采购人与成交供应商将在成交通知书发出之日起30日内，按照磋商文件确定的合同文本以及采购标的、规格型号、采购金额、采购数量、技术和服务要求等事项签订采购合同。</w:t>
      </w:r>
    </w:p>
    <w:p w14:paraId="772B5B71">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成交供应商拒绝签订采购合同的，采购人可以按照评审报告推荐的成交候选人名单排序，确定下一候选人为成交供应商，也可以重新开展采购活动。拒绝签订政府采购合同的成交供应商不得参加对该项目重新开展的采购活动。</w:t>
      </w:r>
    </w:p>
    <w:p w14:paraId="555FE646">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联合体获得成交资格的，联合体各方应当共同与采购人签订合同，就成交项目向采购人承担连带责任。</w:t>
      </w:r>
    </w:p>
    <w:p w14:paraId="5B11FEBE">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政府采购合同不能转包。</w:t>
      </w:r>
    </w:p>
    <w:p w14:paraId="5C66ADC4">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采购人允许采用分包方式履行合同的，成交供应商可以依法采取分包方式履行合同。本项目</w:t>
      </w:r>
      <w:r>
        <w:rPr>
          <w:rFonts w:hint="eastAsia" w:ascii="宋体" w:hAnsi="宋体"/>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54"/>
    <w:bookmarkEnd w:id="555"/>
    <w:bookmarkEnd w:id="556"/>
    <w:p w14:paraId="6A2523DF">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询问与质疑</w:t>
      </w:r>
    </w:p>
    <w:p w14:paraId="2DDE22E4">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询问</w:t>
      </w:r>
    </w:p>
    <w:p w14:paraId="3DED487D">
      <w:pPr>
        <w:numPr>
          <w:ilvl w:val="2"/>
          <w:numId w:val="15"/>
        </w:numPr>
        <w:snapToGrid w:val="0"/>
        <w:spacing w:line="360" w:lineRule="auto"/>
        <w:rPr>
          <w:rFonts w:ascii="宋体" w:hAnsi="宋体"/>
          <w:sz w:val="24"/>
        </w:rPr>
      </w:pPr>
      <w:r>
        <w:rPr>
          <w:rFonts w:ascii="宋体" w:hAnsi="宋体"/>
          <w:sz w:val="24"/>
        </w:rPr>
        <w:t>供应商对政府采购活动事项有疑问的，可依法提出询问，并按《供应商须知资料表》载明的形式送达采购人或采购代理机构。</w:t>
      </w:r>
    </w:p>
    <w:p w14:paraId="5302BE13">
      <w:pPr>
        <w:numPr>
          <w:ilvl w:val="2"/>
          <w:numId w:val="15"/>
        </w:numPr>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14:paraId="2B42B080">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质疑</w:t>
      </w:r>
    </w:p>
    <w:p w14:paraId="3879F0EC">
      <w:pPr>
        <w:numPr>
          <w:ilvl w:val="2"/>
          <w:numId w:val="15"/>
        </w:numPr>
        <w:snapToGrid w:val="0"/>
        <w:spacing w:line="360" w:lineRule="auto"/>
        <w:rPr>
          <w:rFonts w:ascii="宋体" w:hAnsi="宋体"/>
          <w:sz w:val="24"/>
        </w:rPr>
      </w:pPr>
      <w:r>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391C6015">
      <w:pPr>
        <w:numPr>
          <w:ilvl w:val="2"/>
          <w:numId w:val="15"/>
        </w:numPr>
        <w:snapToGrid w:val="0"/>
        <w:spacing w:line="360" w:lineRule="auto"/>
        <w:rPr>
          <w:rFonts w:ascii="宋体" w:hAnsi="宋体"/>
          <w:sz w:val="24"/>
        </w:rPr>
      </w:pPr>
      <w:r>
        <w:rPr>
          <w:rFonts w:ascii="宋体" w:hAnsi="宋体"/>
          <w:sz w:val="24"/>
        </w:rPr>
        <w:t>质疑函须使用财政部制定的范本文件。</w:t>
      </w:r>
    </w:p>
    <w:p w14:paraId="109ED103">
      <w:pPr>
        <w:numPr>
          <w:ilvl w:val="2"/>
          <w:numId w:val="15"/>
        </w:numPr>
        <w:snapToGrid w:val="0"/>
        <w:spacing w:line="360" w:lineRule="auto"/>
        <w:rPr>
          <w:rFonts w:ascii="宋体" w:hAnsi="宋体"/>
          <w:sz w:val="24"/>
        </w:rPr>
      </w:pPr>
      <w:r>
        <w:rPr>
          <w:rFonts w:ascii="宋体" w:hAnsi="宋体"/>
          <w:sz w:val="24"/>
        </w:rPr>
        <w:t>供应商为自然人的，应当由本人签字；供应商为法人或者其他组织的，应当由法定代表人、主要负责人，或者其授权代表签字或者盖章，并加盖公章。</w:t>
      </w:r>
    </w:p>
    <w:p w14:paraId="37C5093A">
      <w:pPr>
        <w:numPr>
          <w:ilvl w:val="2"/>
          <w:numId w:val="15"/>
        </w:numPr>
        <w:snapToGrid w:val="0"/>
        <w:spacing w:line="360" w:lineRule="auto"/>
        <w:rPr>
          <w:rFonts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1CFFC532">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接收询问和质疑的联系部门、联系电话和通讯地址见《供应商须知资料表》</w:t>
      </w:r>
      <w:r>
        <w:rPr>
          <w:rFonts w:hint="eastAsia" w:ascii="宋体" w:hAnsi="宋体"/>
          <w:sz w:val="24"/>
        </w:rPr>
        <w:t>。</w:t>
      </w:r>
    </w:p>
    <w:p w14:paraId="1B3CE1D0">
      <w:pPr>
        <w:numPr>
          <w:ilvl w:val="0"/>
          <w:numId w:val="15"/>
        </w:numPr>
        <w:tabs>
          <w:tab w:val="left" w:pos="360"/>
        </w:tabs>
        <w:snapToGrid w:val="0"/>
        <w:spacing w:line="360" w:lineRule="auto"/>
        <w:ind w:left="357" w:hanging="357"/>
        <w:outlineLvl w:val="1"/>
        <w:rPr>
          <w:rFonts w:ascii="宋体" w:hAnsi="宋体"/>
          <w:sz w:val="24"/>
        </w:rPr>
      </w:pPr>
      <w:r>
        <w:rPr>
          <w:rFonts w:ascii="宋体" w:hAnsi="宋体"/>
          <w:sz w:val="24"/>
        </w:rPr>
        <w:t>代理费</w:t>
      </w:r>
      <w:r>
        <w:rPr>
          <w:rFonts w:hint="eastAsia" w:ascii="宋体" w:hAnsi="宋体"/>
          <w:sz w:val="24"/>
        </w:rPr>
        <w:t>（本项目不适用）</w:t>
      </w:r>
    </w:p>
    <w:p w14:paraId="09AFA974">
      <w:pPr>
        <w:numPr>
          <w:ilvl w:val="1"/>
          <w:numId w:val="15"/>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收费对象、收费标准及缴纳时间见《供应商须知资料表》。由成交供应商支付的，成交供应商须一次性向采购代理机构缴纳代理费，报价应包含代理费用。</w:t>
      </w:r>
    </w:p>
    <w:p w14:paraId="33048628">
      <w:pPr>
        <w:tabs>
          <w:tab w:val="left" w:pos="360"/>
          <w:tab w:val="left" w:pos="1080"/>
        </w:tabs>
        <w:snapToGrid w:val="0"/>
        <w:spacing w:line="360" w:lineRule="auto"/>
        <w:ind w:left="360"/>
        <w:rPr>
          <w:rFonts w:ascii="宋体" w:hAnsi="宋体"/>
          <w:sz w:val="24"/>
        </w:rPr>
      </w:pPr>
    </w:p>
    <w:p w14:paraId="4F9B7D27">
      <w:pPr>
        <w:spacing w:line="360" w:lineRule="auto"/>
        <w:jc w:val="center"/>
        <w:outlineLvl w:val="0"/>
        <w:rPr>
          <w:rFonts w:ascii="宋体" w:hAnsi="宋体"/>
          <w:b/>
          <w:sz w:val="36"/>
          <w:szCs w:val="36"/>
        </w:rPr>
      </w:pPr>
      <w:bookmarkStart w:id="591" w:name="_Toc353873664"/>
      <w:bookmarkStart w:id="592" w:name="_Toc150480792"/>
      <w:bookmarkStart w:id="593" w:name="_Toc150774759"/>
      <w:bookmarkStart w:id="594" w:name="_Toc226337250"/>
      <w:bookmarkStart w:id="595" w:name="_Toc264969244"/>
      <w:bookmarkStart w:id="596" w:name="_Toc265228392"/>
      <w:bookmarkStart w:id="597" w:name="_Toc305158896"/>
      <w:bookmarkStart w:id="598" w:name="_Toc305158822"/>
      <w:bookmarkStart w:id="599" w:name="_Toc127151554"/>
      <w:bookmarkStart w:id="600" w:name="_Toc353873934"/>
      <w:bookmarkStart w:id="601" w:name="_Toc142311056"/>
      <w:bookmarkStart w:id="602" w:name="_Toc226965827"/>
      <w:bookmarkStart w:id="603" w:name="_Toc353825544"/>
      <w:r>
        <w:rPr>
          <w:rFonts w:ascii="宋体" w:hAnsi="宋体"/>
          <w:sz w:val="24"/>
        </w:rPr>
        <w:br w:type="page"/>
      </w:r>
      <w:bookmarkStart w:id="604" w:name="_Toc97371943"/>
      <w:r>
        <w:rPr>
          <w:rFonts w:ascii="宋体" w:hAnsi="宋体"/>
          <w:b/>
          <w:sz w:val="36"/>
          <w:szCs w:val="36"/>
        </w:rPr>
        <w:t xml:space="preserve">第三章   </w:t>
      </w:r>
      <w:bookmarkEnd w:id="591"/>
      <w:bookmarkEnd w:id="592"/>
      <w:bookmarkEnd w:id="593"/>
      <w:bookmarkEnd w:id="594"/>
      <w:bookmarkEnd w:id="595"/>
      <w:bookmarkEnd w:id="596"/>
      <w:bookmarkEnd w:id="597"/>
      <w:bookmarkEnd w:id="598"/>
      <w:bookmarkEnd w:id="599"/>
      <w:bookmarkEnd w:id="600"/>
      <w:bookmarkEnd w:id="601"/>
      <w:bookmarkEnd w:id="602"/>
      <w:bookmarkEnd w:id="603"/>
      <w:r>
        <w:rPr>
          <w:rFonts w:ascii="宋体" w:hAnsi="宋体"/>
          <w:b/>
          <w:sz w:val="36"/>
          <w:szCs w:val="36"/>
        </w:rPr>
        <w:t>评审方法和评审标准</w:t>
      </w:r>
      <w:bookmarkEnd w:id="604"/>
      <w:bookmarkStart w:id="605" w:name="_Toc487900382"/>
    </w:p>
    <w:p w14:paraId="1B1D2C18">
      <w:pPr>
        <w:pStyle w:val="4"/>
        <w:spacing w:before="0" w:line="360" w:lineRule="auto"/>
        <w:rPr>
          <w:rFonts w:ascii="宋体" w:hAnsi="宋体" w:eastAsia="宋体"/>
          <w:sz w:val="24"/>
          <w:szCs w:val="24"/>
        </w:rPr>
      </w:pPr>
      <w:r>
        <w:rPr>
          <w:rFonts w:ascii="宋体" w:hAnsi="宋体" w:eastAsia="宋体"/>
          <w:sz w:val="24"/>
          <w:szCs w:val="24"/>
        </w:rPr>
        <w:t>一、资格审查程序</w:t>
      </w:r>
    </w:p>
    <w:p w14:paraId="49314FE9">
      <w:pPr>
        <w:tabs>
          <w:tab w:val="left" w:pos="1080"/>
        </w:tabs>
        <w:snapToGrid w:val="0"/>
        <w:jc w:val="left"/>
        <w:rPr>
          <w:rFonts w:ascii="宋体" w:hAnsi="宋体"/>
          <w:b/>
          <w:sz w:val="24"/>
        </w:rPr>
      </w:pPr>
      <w:r>
        <w:rPr>
          <w:rFonts w:ascii="宋体" w:hAnsi="宋体"/>
          <w:b/>
          <w:sz w:val="24"/>
        </w:rPr>
        <w:tab/>
      </w:r>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605"/>
    <w:p w14:paraId="03D38A85">
      <w:pPr>
        <w:numPr>
          <w:ilvl w:val="0"/>
          <w:numId w:val="17"/>
        </w:numPr>
        <w:tabs>
          <w:tab w:val="left" w:pos="360"/>
        </w:tabs>
        <w:snapToGrid w:val="0"/>
        <w:spacing w:line="360" w:lineRule="auto"/>
        <w:outlineLvl w:val="1"/>
        <w:rPr>
          <w:rFonts w:ascii="宋体" w:hAnsi="宋体"/>
          <w:sz w:val="24"/>
        </w:rPr>
      </w:pPr>
      <w:bookmarkStart w:id="606" w:name="_Toc226309785"/>
      <w:bookmarkStart w:id="607" w:name="_Toc151193855"/>
      <w:bookmarkStart w:id="608" w:name="_Toc164608655"/>
      <w:bookmarkStart w:id="609" w:name="_Toc305158809"/>
      <w:bookmarkStart w:id="610" w:name="_Toc164229382"/>
      <w:bookmarkStart w:id="611" w:name="_Toc151190168"/>
      <w:bookmarkStart w:id="612" w:name="_Toc226965731"/>
      <w:bookmarkStart w:id="613" w:name="_Toc226337237"/>
      <w:bookmarkStart w:id="614" w:name="_Toc150509292"/>
      <w:bookmarkStart w:id="615" w:name="_Toc164608810"/>
      <w:bookmarkStart w:id="616" w:name="_Toc142311043"/>
      <w:bookmarkStart w:id="617" w:name="_Toc305158883"/>
      <w:bookmarkStart w:id="618" w:name="_Toc151193783"/>
      <w:bookmarkStart w:id="619" w:name="_Toc164229236"/>
      <w:bookmarkStart w:id="620" w:name="_Toc151193639"/>
      <w:bookmarkStart w:id="621" w:name="_Toc127151742"/>
      <w:bookmarkStart w:id="622" w:name="_Toc265228379"/>
      <w:bookmarkStart w:id="623" w:name="_Toc150774641"/>
      <w:bookmarkStart w:id="624" w:name="_Toc151193711"/>
      <w:bookmarkStart w:id="625" w:name="_Toc226965814"/>
      <w:bookmarkStart w:id="626" w:name="_Toc264969231"/>
      <w:bookmarkStart w:id="627" w:name="_Toc149720834"/>
      <w:bookmarkStart w:id="628" w:name="_Toc195842906"/>
      <w:bookmarkStart w:id="629" w:name="_Toc164351635"/>
      <w:bookmarkStart w:id="630" w:name="_Toc151193929"/>
      <w:bookmarkStart w:id="631" w:name="_Toc127151541"/>
      <w:bookmarkStart w:id="632" w:name="_Toc127161455"/>
      <w:bookmarkStart w:id="633" w:name="_Toc150480779"/>
      <w:bookmarkStart w:id="634" w:name="_Toc150774746"/>
      <w:bookmarkStart w:id="635" w:name="_Toc353873941"/>
      <w:bookmarkStart w:id="636" w:name="_Toc353825551"/>
      <w:bookmarkStart w:id="637" w:name="_Toc264969245"/>
      <w:bookmarkStart w:id="638" w:name="_Toc195842920"/>
      <w:bookmarkStart w:id="639" w:name="_Toc226965828"/>
      <w:bookmarkStart w:id="640" w:name="_Toc226337251"/>
      <w:bookmarkStart w:id="641" w:name="_Toc353873935"/>
      <w:bookmarkStart w:id="642" w:name="_Toc305158897"/>
      <w:bookmarkStart w:id="643" w:name="_Toc305158823"/>
      <w:bookmarkStart w:id="644" w:name="_Toc127151555"/>
      <w:bookmarkStart w:id="645" w:name="_Toc150774760"/>
      <w:bookmarkStart w:id="646" w:name="_Toc142311057"/>
      <w:bookmarkStart w:id="647" w:name="_Toc150480793"/>
      <w:bookmarkStart w:id="648" w:name="_Toc265228393"/>
      <w:bookmarkStart w:id="649" w:name="_Toc353825545"/>
      <w:bookmarkStart w:id="650" w:name="_Toc353873665"/>
      <w:r>
        <w:rPr>
          <w:rFonts w:ascii="宋体" w:hAnsi="宋体"/>
          <w:sz w:val="24"/>
        </w:rPr>
        <w:t>响应文件的</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Fonts w:ascii="宋体" w:hAnsi="宋体"/>
          <w:sz w:val="24"/>
        </w:rPr>
        <w:t>资格性检查和符合性审查</w:t>
      </w:r>
    </w:p>
    <w:p w14:paraId="6575C0DE">
      <w:pPr>
        <w:numPr>
          <w:ilvl w:val="1"/>
          <w:numId w:val="17"/>
        </w:numPr>
        <w:tabs>
          <w:tab w:val="left" w:pos="1080"/>
        </w:tabs>
        <w:snapToGrid w:val="0"/>
        <w:spacing w:line="360" w:lineRule="auto"/>
        <w:ind w:left="1077" w:hanging="720"/>
        <w:rPr>
          <w:rFonts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7174F975">
      <w:pPr>
        <w:numPr>
          <w:ilvl w:val="1"/>
          <w:numId w:val="17"/>
        </w:numPr>
        <w:tabs>
          <w:tab w:val="left" w:pos="1080"/>
        </w:tabs>
        <w:snapToGrid w:val="0"/>
        <w:spacing w:line="360" w:lineRule="auto"/>
        <w:ind w:left="1077" w:hanging="720"/>
        <w:rPr>
          <w:rFonts w:ascii="宋体" w:hAnsi="宋体"/>
          <w:sz w:val="24"/>
        </w:rPr>
      </w:pPr>
      <w:r>
        <w:rPr>
          <w:rFonts w:ascii="宋体" w:hAnsi="宋体"/>
          <w:sz w:val="24"/>
        </w:rPr>
        <w:t>《资格性检查要求》中对格式有要求的，除竞争性磋商文件另有规定外，均为“实质性格式”文件。</w:t>
      </w:r>
    </w:p>
    <w:p w14:paraId="2F930487">
      <w:pPr>
        <w:numPr>
          <w:ilvl w:val="1"/>
          <w:numId w:val="17"/>
        </w:numPr>
        <w:tabs>
          <w:tab w:val="left" w:pos="1080"/>
        </w:tabs>
        <w:snapToGrid w:val="0"/>
        <w:spacing w:line="360" w:lineRule="auto"/>
        <w:ind w:left="1077" w:hanging="720"/>
        <w:rPr>
          <w:rFonts w:ascii="宋体" w:hAnsi="宋体"/>
          <w:sz w:val="24"/>
        </w:rPr>
      </w:pPr>
      <w:r>
        <w:rPr>
          <w:rFonts w:ascii="宋体" w:hAnsi="宋体"/>
          <w:sz w:val="24"/>
        </w:rPr>
        <w:t>《资格性检查要求》见下表：</w:t>
      </w:r>
    </w:p>
    <w:p w14:paraId="36216ECF">
      <w:pPr>
        <w:tabs>
          <w:tab w:val="left" w:pos="900"/>
          <w:tab w:val="left" w:pos="1080"/>
        </w:tabs>
        <w:snapToGrid w:val="0"/>
        <w:spacing w:line="360" w:lineRule="auto"/>
        <w:ind w:left="1077" w:firstLine="2650" w:firstLineChars="1100"/>
        <w:rPr>
          <w:rFonts w:ascii="宋体" w:hAnsi="宋体"/>
          <w:b/>
          <w:sz w:val="24"/>
        </w:rPr>
      </w:pPr>
      <w:r>
        <w:rPr>
          <w:rFonts w:ascii="宋体" w:hAnsi="宋体"/>
          <w:b/>
          <w:sz w:val="24"/>
        </w:rPr>
        <w:t>资格性检查要求</w:t>
      </w:r>
    </w:p>
    <w:tbl>
      <w:tblPr>
        <w:tblStyle w:val="67"/>
        <w:tblW w:w="93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1813"/>
        <w:gridCol w:w="5103"/>
        <w:gridCol w:w="1529"/>
        <w:gridCol w:w="12"/>
      </w:tblGrid>
      <w:tr w14:paraId="1B86B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847" w:type="dxa"/>
            <w:vAlign w:val="center"/>
          </w:tcPr>
          <w:p w14:paraId="3BA4C4C8">
            <w:pPr>
              <w:tabs>
                <w:tab w:val="left" w:pos="1080"/>
              </w:tabs>
              <w:snapToGrid w:val="0"/>
              <w:jc w:val="center"/>
              <w:rPr>
                <w:rFonts w:ascii="宋体" w:hAnsi="宋体"/>
                <w:b/>
                <w:sz w:val="24"/>
              </w:rPr>
            </w:pPr>
            <w:bookmarkStart w:id="651" w:name="_Hlt487972895"/>
            <w:bookmarkEnd w:id="651"/>
            <w:r>
              <w:rPr>
                <w:rFonts w:ascii="宋体" w:hAnsi="宋体"/>
                <w:b/>
                <w:sz w:val="24"/>
              </w:rPr>
              <w:t>序号</w:t>
            </w:r>
          </w:p>
        </w:tc>
        <w:tc>
          <w:tcPr>
            <w:tcW w:w="1813" w:type="dxa"/>
            <w:vAlign w:val="center"/>
          </w:tcPr>
          <w:p w14:paraId="3B1DEE5E">
            <w:pPr>
              <w:tabs>
                <w:tab w:val="left" w:pos="1080"/>
              </w:tabs>
              <w:snapToGrid w:val="0"/>
              <w:jc w:val="center"/>
              <w:rPr>
                <w:rFonts w:ascii="宋体" w:hAnsi="宋体"/>
                <w:b/>
                <w:sz w:val="24"/>
              </w:rPr>
            </w:pPr>
            <w:r>
              <w:rPr>
                <w:rFonts w:ascii="宋体" w:hAnsi="宋体"/>
                <w:b/>
                <w:sz w:val="24"/>
              </w:rPr>
              <w:t>检查因素</w:t>
            </w:r>
          </w:p>
        </w:tc>
        <w:tc>
          <w:tcPr>
            <w:tcW w:w="5103" w:type="dxa"/>
            <w:vAlign w:val="center"/>
          </w:tcPr>
          <w:p w14:paraId="064E7175">
            <w:pPr>
              <w:tabs>
                <w:tab w:val="left" w:pos="1080"/>
              </w:tabs>
              <w:snapToGrid w:val="0"/>
              <w:jc w:val="center"/>
              <w:rPr>
                <w:rFonts w:ascii="宋体" w:hAnsi="宋体"/>
                <w:b/>
                <w:sz w:val="24"/>
              </w:rPr>
            </w:pPr>
            <w:r>
              <w:rPr>
                <w:rFonts w:ascii="宋体" w:hAnsi="宋体"/>
                <w:b/>
                <w:sz w:val="24"/>
              </w:rPr>
              <w:t>检查内容</w:t>
            </w:r>
          </w:p>
        </w:tc>
        <w:tc>
          <w:tcPr>
            <w:tcW w:w="1541" w:type="dxa"/>
            <w:gridSpan w:val="2"/>
            <w:vAlign w:val="center"/>
          </w:tcPr>
          <w:p w14:paraId="0A6338CC">
            <w:pPr>
              <w:tabs>
                <w:tab w:val="left" w:pos="1080"/>
              </w:tabs>
              <w:snapToGrid w:val="0"/>
              <w:jc w:val="center"/>
              <w:rPr>
                <w:rFonts w:ascii="宋体" w:hAnsi="宋体"/>
                <w:b/>
                <w:sz w:val="24"/>
              </w:rPr>
            </w:pPr>
            <w:r>
              <w:rPr>
                <w:rFonts w:ascii="宋体" w:hAnsi="宋体"/>
                <w:b/>
                <w:sz w:val="24"/>
              </w:rPr>
              <w:t>格式要求</w:t>
            </w:r>
          </w:p>
        </w:tc>
      </w:tr>
      <w:tr w14:paraId="24306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847" w:type="dxa"/>
            <w:vAlign w:val="center"/>
          </w:tcPr>
          <w:p w14:paraId="1985D091">
            <w:pPr>
              <w:tabs>
                <w:tab w:val="left" w:pos="1080"/>
              </w:tabs>
              <w:snapToGrid w:val="0"/>
              <w:jc w:val="center"/>
              <w:rPr>
                <w:rFonts w:ascii="宋体" w:hAnsi="宋体"/>
                <w:sz w:val="24"/>
              </w:rPr>
            </w:pPr>
            <w:r>
              <w:rPr>
                <w:rFonts w:ascii="宋体" w:hAnsi="宋体"/>
                <w:sz w:val="24"/>
              </w:rPr>
              <w:t>1</w:t>
            </w:r>
          </w:p>
        </w:tc>
        <w:tc>
          <w:tcPr>
            <w:tcW w:w="1813" w:type="dxa"/>
            <w:vAlign w:val="center"/>
          </w:tcPr>
          <w:p w14:paraId="3D9F14B5">
            <w:pPr>
              <w:tabs>
                <w:tab w:val="left" w:pos="1080"/>
              </w:tabs>
              <w:snapToGrid w:val="0"/>
              <w:jc w:val="left"/>
              <w:rPr>
                <w:rFonts w:ascii="宋体" w:hAnsi="宋体"/>
                <w:sz w:val="24"/>
              </w:rPr>
            </w:pPr>
            <w:r>
              <w:rPr>
                <w:rFonts w:ascii="宋体" w:hAnsi="宋体"/>
                <w:sz w:val="24"/>
              </w:rPr>
              <w:t>满足《中华人民共和国政府采购法》第二十二条规定及法律法规的其他规定</w:t>
            </w:r>
          </w:p>
        </w:tc>
        <w:tc>
          <w:tcPr>
            <w:tcW w:w="6644" w:type="dxa"/>
            <w:gridSpan w:val="3"/>
            <w:vAlign w:val="center"/>
          </w:tcPr>
          <w:p w14:paraId="1AEA28EA">
            <w:pPr>
              <w:tabs>
                <w:tab w:val="left" w:pos="1080"/>
              </w:tabs>
              <w:snapToGrid w:val="0"/>
              <w:jc w:val="left"/>
              <w:rPr>
                <w:rFonts w:ascii="宋体" w:hAnsi="宋体"/>
                <w:sz w:val="24"/>
              </w:rPr>
            </w:pPr>
            <w:r>
              <w:rPr>
                <w:rFonts w:ascii="宋体" w:hAnsi="宋体"/>
                <w:sz w:val="24"/>
              </w:rPr>
              <w:t>具体规定见第一章《采购邀请》</w:t>
            </w:r>
          </w:p>
        </w:tc>
      </w:tr>
      <w:tr w14:paraId="77AA5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847" w:type="dxa"/>
            <w:vAlign w:val="center"/>
          </w:tcPr>
          <w:p w14:paraId="6FB5F764">
            <w:pPr>
              <w:tabs>
                <w:tab w:val="left" w:pos="1080"/>
              </w:tabs>
              <w:snapToGrid w:val="0"/>
              <w:jc w:val="center"/>
              <w:rPr>
                <w:rFonts w:ascii="宋体" w:hAnsi="宋体"/>
                <w:sz w:val="24"/>
              </w:rPr>
            </w:pPr>
            <w:r>
              <w:rPr>
                <w:rFonts w:ascii="宋体" w:hAnsi="宋体"/>
                <w:sz w:val="24"/>
              </w:rPr>
              <w:t>1-1</w:t>
            </w:r>
          </w:p>
        </w:tc>
        <w:tc>
          <w:tcPr>
            <w:tcW w:w="1813" w:type="dxa"/>
            <w:vAlign w:val="center"/>
          </w:tcPr>
          <w:p w14:paraId="32E0B79B">
            <w:pPr>
              <w:tabs>
                <w:tab w:val="left" w:pos="1080"/>
              </w:tabs>
              <w:snapToGrid w:val="0"/>
              <w:jc w:val="left"/>
              <w:rPr>
                <w:rFonts w:ascii="宋体" w:hAnsi="宋体"/>
                <w:sz w:val="24"/>
              </w:rPr>
            </w:pPr>
            <w:r>
              <w:rPr>
                <w:rFonts w:ascii="宋体" w:hAnsi="宋体"/>
                <w:sz w:val="24"/>
              </w:rPr>
              <w:t>营业执照等证明文件</w:t>
            </w:r>
          </w:p>
        </w:tc>
        <w:tc>
          <w:tcPr>
            <w:tcW w:w="5103" w:type="dxa"/>
            <w:vAlign w:val="center"/>
          </w:tcPr>
          <w:p w14:paraId="71F08DF2">
            <w:pPr>
              <w:tabs>
                <w:tab w:val="left" w:pos="1080"/>
              </w:tabs>
              <w:snapToGrid w:val="0"/>
              <w:jc w:val="left"/>
              <w:rPr>
                <w:rFonts w:ascii="宋体" w:hAnsi="宋体"/>
                <w:sz w:val="24"/>
              </w:rPr>
            </w:pPr>
            <w:r>
              <w:rPr>
                <w:rFonts w:ascii="宋体" w:hAnsi="宋体"/>
                <w:sz w:val="24"/>
              </w:rPr>
              <w:t>供应商为企业（包括合伙企业）的，应提供有效的“营业执照”；</w:t>
            </w:r>
          </w:p>
          <w:p w14:paraId="3482788C">
            <w:pPr>
              <w:tabs>
                <w:tab w:val="left" w:pos="1080"/>
              </w:tabs>
              <w:snapToGrid w:val="0"/>
              <w:jc w:val="left"/>
              <w:rPr>
                <w:rFonts w:ascii="宋体" w:hAnsi="宋体"/>
                <w:sz w:val="24"/>
              </w:rPr>
            </w:pPr>
            <w:r>
              <w:rPr>
                <w:rFonts w:ascii="宋体" w:hAnsi="宋体"/>
                <w:sz w:val="24"/>
              </w:rPr>
              <w:t>供应商为事业单位的，应提供有效的“事业单位法人证书”；</w:t>
            </w:r>
          </w:p>
          <w:p w14:paraId="0C57619D">
            <w:pPr>
              <w:tabs>
                <w:tab w:val="left" w:pos="1080"/>
              </w:tabs>
              <w:snapToGrid w:val="0"/>
              <w:jc w:val="left"/>
              <w:rPr>
                <w:rFonts w:ascii="宋体" w:hAnsi="宋体"/>
                <w:sz w:val="24"/>
              </w:rPr>
            </w:pPr>
            <w:r>
              <w:rPr>
                <w:rFonts w:ascii="宋体" w:hAnsi="宋体"/>
                <w:sz w:val="24"/>
              </w:rPr>
              <w:t>供应商</w:t>
            </w:r>
            <w:r>
              <w:rPr>
                <w:rFonts w:hint="eastAsia" w:ascii="宋体" w:hAnsi="宋体"/>
                <w:sz w:val="24"/>
              </w:rPr>
              <w:t>是非企业机构的，应提供有效的“执业许可证”、“登记证书”等证明文件</w:t>
            </w:r>
            <w:r>
              <w:rPr>
                <w:rFonts w:ascii="宋体" w:hAnsi="宋体"/>
                <w:sz w:val="24"/>
              </w:rPr>
              <w:t>；</w:t>
            </w:r>
          </w:p>
          <w:p w14:paraId="0F4873D8">
            <w:pPr>
              <w:tabs>
                <w:tab w:val="left" w:pos="1080"/>
              </w:tabs>
              <w:snapToGrid w:val="0"/>
              <w:jc w:val="left"/>
              <w:rPr>
                <w:rFonts w:ascii="宋体" w:hAnsi="宋体"/>
                <w:sz w:val="24"/>
              </w:rPr>
            </w:pPr>
            <w:r>
              <w:rPr>
                <w:rFonts w:ascii="宋体" w:hAnsi="宋体"/>
                <w:sz w:val="24"/>
              </w:rPr>
              <w:t>供应商是个体工商户的，应提供有效的“个体工商户营业执照”；</w:t>
            </w:r>
          </w:p>
          <w:p w14:paraId="6990D499">
            <w:pPr>
              <w:tabs>
                <w:tab w:val="left" w:pos="1080"/>
              </w:tabs>
              <w:snapToGrid w:val="0"/>
              <w:jc w:val="left"/>
              <w:rPr>
                <w:rFonts w:ascii="宋体" w:hAnsi="宋体"/>
                <w:sz w:val="24"/>
              </w:rPr>
            </w:pPr>
            <w:r>
              <w:rPr>
                <w:rFonts w:ascii="宋体" w:hAnsi="宋体"/>
                <w:sz w:val="24"/>
              </w:rPr>
              <w:t>供应商是自然人的，应提供有效的自然人身份证明。</w:t>
            </w:r>
          </w:p>
          <w:p w14:paraId="7438D515">
            <w:pPr>
              <w:tabs>
                <w:tab w:val="left" w:pos="1080"/>
              </w:tabs>
              <w:snapToGrid w:val="0"/>
              <w:jc w:val="left"/>
              <w:rPr>
                <w:rFonts w:ascii="宋体" w:hAnsi="宋体"/>
                <w:sz w:val="24"/>
              </w:rPr>
            </w:pPr>
            <w:r>
              <w:rPr>
                <w:rFonts w:ascii="宋体" w:hAnsi="宋体"/>
                <w:sz w:val="24"/>
              </w:rPr>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541" w:type="dxa"/>
            <w:gridSpan w:val="2"/>
            <w:vAlign w:val="center"/>
          </w:tcPr>
          <w:p w14:paraId="43538F39">
            <w:pPr>
              <w:tabs>
                <w:tab w:val="left" w:pos="1080"/>
              </w:tabs>
              <w:snapToGrid w:val="0"/>
              <w:jc w:val="left"/>
              <w:rPr>
                <w:rFonts w:ascii="宋体" w:hAnsi="宋体"/>
                <w:sz w:val="24"/>
              </w:rPr>
            </w:pPr>
            <w:r>
              <w:rPr>
                <w:rFonts w:ascii="宋体" w:hAnsi="宋体"/>
                <w:sz w:val="24"/>
              </w:rPr>
              <w:t>提供证明文件的</w:t>
            </w:r>
            <w:r>
              <w:rPr>
                <w:rFonts w:hint="eastAsia" w:ascii="宋体" w:hAnsi="宋体"/>
                <w:sz w:val="24"/>
              </w:rPr>
              <w:t>复印件加盖公章</w:t>
            </w:r>
          </w:p>
        </w:tc>
      </w:tr>
      <w:tr w14:paraId="0D44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847" w:type="dxa"/>
            <w:vAlign w:val="center"/>
          </w:tcPr>
          <w:p w14:paraId="5DB0DEBC">
            <w:pPr>
              <w:tabs>
                <w:tab w:val="left" w:pos="1080"/>
              </w:tabs>
              <w:snapToGrid w:val="0"/>
              <w:jc w:val="center"/>
              <w:rPr>
                <w:rFonts w:ascii="宋体" w:hAnsi="宋体"/>
                <w:sz w:val="24"/>
              </w:rPr>
            </w:pPr>
            <w:r>
              <w:rPr>
                <w:rFonts w:ascii="宋体" w:hAnsi="宋体"/>
                <w:sz w:val="24"/>
              </w:rPr>
              <w:t>1-2</w:t>
            </w:r>
          </w:p>
        </w:tc>
        <w:tc>
          <w:tcPr>
            <w:tcW w:w="1813" w:type="dxa"/>
            <w:vAlign w:val="center"/>
          </w:tcPr>
          <w:p w14:paraId="655DC682">
            <w:pPr>
              <w:tabs>
                <w:tab w:val="left" w:pos="1080"/>
              </w:tabs>
              <w:snapToGrid w:val="0"/>
              <w:jc w:val="left"/>
              <w:rPr>
                <w:rFonts w:ascii="宋体" w:hAnsi="宋体"/>
                <w:sz w:val="24"/>
              </w:rPr>
            </w:pPr>
            <w:r>
              <w:rPr>
                <w:rFonts w:ascii="宋体" w:hAnsi="宋体"/>
                <w:sz w:val="24"/>
              </w:rPr>
              <w:t>供应商资格声明书</w:t>
            </w:r>
          </w:p>
        </w:tc>
        <w:tc>
          <w:tcPr>
            <w:tcW w:w="5103" w:type="dxa"/>
            <w:vAlign w:val="center"/>
          </w:tcPr>
          <w:p w14:paraId="59955EDD">
            <w:pPr>
              <w:tabs>
                <w:tab w:val="left" w:pos="1080"/>
              </w:tabs>
              <w:snapToGrid w:val="0"/>
              <w:jc w:val="left"/>
              <w:rPr>
                <w:rFonts w:ascii="宋体" w:hAnsi="宋体"/>
                <w:sz w:val="24"/>
              </w:rPr>
            </w:pPr>
            <w:r>
              <w:rPr>
                <w:rFonts w:ascii="宋体" w:hAnsi="宋体"/>
                <w:sz w:val="24"/>
              </w:rPr>
              <w:t>提供了符合竞争性磋商文件要求的《供应商资格声明书》。</w:t>
            </w:r>
          </w:p>
        </w:tc>
        <w:tc>
          <w:tcPr>
            <w:tcW w:w="1541" w:type="dxa"/>
            <w:gridSpan w:val="2"/>
            <w:vAlign w:val="center"/>
          </w:tcPr>
          <w:p w14:paraId="526524DE">
            <w:pPr>
              <w:tabs>
                <w:tab w:val="left" w:pos="1080"/>
              </w:tabs>
              <w:snapToGrid w:val="0"/>
              <w:jc w:val="left"/>
              <w:rPr>
                <w:rFonts w:ascii="宋体" w:hAnsi="宋体"/>
                <w:sz w:val="24"/>
              </w:rPr>
            </w:pPr>
            <w:r>
              <w:rPr>
                <w:rFonts w:ascii="宋体" w:hAnsi="宋体"/>
                <w:sz w:val="24"/>
              </w:rPr>
              <w:t>格式见《响应文件格式》</w:t>
            </w:r>
          </w:p>
        </w:tc>
      </w:tr>
      <w:tr w14:paraId="18A7C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847" w:type="dxa"/>
            <w:vAlign w:val="center"/>
          </w:tcPr>
          <w:p w14:paraId="0D180E29">
            <w:pPr>
              <w:tabs>
                <w:tab w:val="left" w:pos="1080"/>
              </w:tabs>
              <w:snapToGrid w:val="0"/>
              <w:jc w:val="center"/>
              <w:rPr>
                <w:rFonts w:ascii="宋体" w:hAnsi="宋体"/>
                <w:sz w:val="24"/>
              </w:rPr>
            </w:pPr>
            <w:r>
              <w:rPr>
                <w:rFonts w:ascii="宋体" w:hAnsi="宋体"/>
                <w:sz w:val="24"/>
              </w:rPr>
              <w:t>1-3</w:t>
            </w:r>
          </w:p>
        </w:tc>
        <w:tc>
          <w:tcPr>
            <w:tcW w:w="1813" w:type="dxa"/>
            <w:vAlign w:val="center"/>
          </w:tcPr>
          <w:p w14:paraId="6EE40479">
            <w:pPr>
              <w:tabs>
                <w:tab w:val="left" w:pos="1080"/>
              </w:tabs>
              <w:snapToGrid w:val="0"/>
              <w:rPr>
                <w:rFonts w:ascii="宋体" w:hAnsi="宋体"/>
                <w:sz w:val="24"/>
              </w:rPr>
            </w:pPr>
            <w:r>
              <w:rPr>
                <w:rFonts w:ascii="宋体" w:hAnsi="宋体"/>
                <w:sz w:val="24"/>
              </w:rPr>
              <w:t>供应商信用记录</w:t>
            </w:r>
          </w:p>
        </w:tc>
        <w:tc>
          <w:tcPr>
            <w:tcW w:w="5103" w:type="dxa"/>
            <w:vAlign w:val="center"/>
          </w:tcPr>
          <w:p w14:paraId="3C8C7E08">
            <w:pPr>
              <w:tabs>
                <w:tab w:val="left" w:pos="1080"/>
              </w:tabs>
              <w:snapToGrid w:val="0"/>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74CBDE48">
            <w:pPr>
              <w:tabs>
                <w:tab w:val="left" w:pos="900"/>
                <w:tab w:val="left" w:pos="1980"/>
              </w:tabs>
              <w:snapToGrid w:val="0"/>
              <w:rPr>
                <w:rFonts w:ascii="宋体" w:hAnsi="宋体"/>
                <w:sz w:val="24"/>
              </w:rPr>
            </w:pPr>
            <w:r>
              <w:rPr>
                <w:rFonts w:ascii="宋体" w:hAnsi="宋体"/>
                <w:sz w:val="24"/>
              </w:rPr>
              <w:t>截止时点：</w:t>
            </w:r>
            <w:r>
              <w:rPr>
                <w:rFonts w:ascii="宋体" w:hAnsi="宋体"/>
                <w:kern w:val="0"/>
                <w:sz w:val="24"/>
                <w:szCs w:val="20"/>
              </w:rPr>
              <w:t>首次响应文件提交截止时间以后</w:t>
            </w:r>
            <w:r>
              <w:rPr>
                <w:rFonts w:ascii="宋体" w:hAnsi="宋体"/>
                <w:sz w:val="24"/>
              </w:rPr>
              <w:t>、资格性检查阶段采购人或采购代理机构的实际查询时间为准；</w:t>
            </w:r>
          </w:p>
          <w:p w14:paraId="4C1B6724">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14:paraId="5250BB00">
            <w:pPr>
              <w:tabs>
                <w:tab w:val="left" w:pos="1080"/>
              </w:tabs>
              <w:snapToGrid w:val="0"/>
              <w:rPr>
                <w:rFonts w:ascii="宋体" w:hAnsi="宋体"/>
                <w:sz w:val="24"/>
              </w:rPr>
            </w:pPr>
            <w:r>
              <w:rPr>
                <w:rFonts w:ascii="宋体" w:hAnsi="宋体"/>
                <w:sz w:val="24"/>
              </w:rPr>
              <w:t>信用信息的使用原则：经认定的被列入失信被执行人、重大税收违法</w:t>
            </w:r>
            <w:r>
              <w:rPr>
                <w:rFonts w:hint="eastAsia" w:ascii="宋体" w:hAnsi="宋体"/>
                <w:sz w:val="24"/>
              </w:rPr>
              <w:t>失信主体</w:t>
            </w:r>
            <w:r>
              <w:rPr>
                <w:rFonts w:ascii="宋体" w:hAnsi="宋体"/>
                <w:sz w:val="24"/>
              </w:rPr>
              <w:t>、政府采购严重违法失信行为记录名单的供应商，其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541" w:type="dxa"/>
            <w:gridSpan w:val="2"/>
            <w:vAlign w:val="center"/>
          </w:tcPr>
          <w:p w14:paraId="7E22D08E">
            <w:pPr>
              <w:tabs>
                <w:tab w:val="left" w:pos="1080"/>
              </w:tabs>
              <w:snapToGrid w:val="0"/>
              <w:rPr>
                <w:rFonts w:ascii="宋体" w:hAnsi="宋体"/>
                <w:sz w:val="24"/>
              </w:rPr>
            </w:pPr>
            <w:r>
              <w:rPr>
                <w:rFonts w:ascii="宋体" w:hAnsi="宋体"/>
                <w:sz w:val="24"/>
              </w:rPr>
              <w:t>无须供应商提供，由采购人或采购代理机构查询。</w:t>
            </w:r>
          </w:p>
        </w:tc>
      </w:tr>
      <w:tr w14:paraId="6CA1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847" w:type="dxa"/>
            <w:vAlign w:val="center"/>
          </w:tcPr>
          <w:p w14:paraId="7728937E">
            <w:pPr>
              <w:tabs>
                <w:tab w:val="left" w:pos="1080"/>
              </w:tabs>
              <w:snapToGrid w:val="0"/>
              <w:jc w:val="center"/>
              <w:rPr>
                <w:rFonts w:ascii="宋体" w:hAnsi="宋体"/>
                <w:sz w:val="24"/>
              </w:rPr>
            </w:pPr>
            <w:r>
              <w:rPr>
                <w:rFonts w:ascii="宋体" w:hAnsi="宋体"/>
                <w:sz w:val="24"/>
              </w:rPr>
              <w:t>2</w:t>
            </w:r>
          </w:p>
        </w:tc>
        <w:tc>
          <w:tcPr>
            <w:tcW w:w="1813" w:type="dxa"/>
            <w:vAlign w:val="center"/>
          </w:tcPr>
          <w:p w14:paraId="6AAF448D">
            <w:pPr>
              <w:tabs>
                <w:tab w:val="left" w:pos="1080"/>
              </w:tabs>
              <w:snapToGrid w:val="0"/>
              <w:jc w:val="left"/>
              <w:rPr>
                <w:rFonts w:ascii="宋体" w:hAnsi="宋体"/>
                <w:sz w:val="24"/>
              </w:rPr>
            </w:pPr>
            <w:r>
              <w:rPr>
                <w:rFonts w:ascii="宋体" w:hAnsi="宋体"/>
                <w:sz w:val="24"/>
              </w:rPr>
              <w:t>本项目的特定资格要求</w:t>
            </w:r>
          </w:p>
        </w:tc>
        <w:tc>
          <w:tcPr>
            <w:tcW w:w="6644" w:type="dxa"/>
            <w:gridSpan w:val="3"/>
            <w:vAlign w:val="center"/>
          </w:tcPr>
          <w:p w14:paraId="60E5D81F">
            <w:pPr>
              <w:tabs>
                <w:tab w:val="left" w:pos="1080"/>
              </w:tabs>
              <w:snapToGrid w:val="0"/>
              <w:jc w:val="left"/>
              <w:rPr>
                <w:rFonts w:ascii="宋体" w:hAnsi="宋体"/>
                <w:sz w:val="24"/>
              </w:rPr>
            </w:pPr>
            <w:r>
              <w:rPr>
                <w:rFonts w:ascii="宋体" w:hAnsi="宋体"/>
                <w:sz w:val="24"/>
              </w:rPr>
              <w:t>如有，见第一章《采购邀请》</w:t>
            </w:r>
          </w:p>
        </w:tc>
      </w:tr>
      <w:tr w14:paraId="66DB3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468" w:hRule="atLeast"/>
        </w:trPr>
        <w:tc>
          <w:tcPr>
            <w:tcW w:w="847" w:type="dxa"/>
            <w:vAlign w:val="center"/>
          </w:tcPr>
          <w:p w14:paraId="78147C84">
            <w:pPr>
              <w:tabs>
                <w:tab w:val="left" w:pos="1080"/>
              </w:tabs>
              <w:snapToGrid w:val="0"/>
              <w:jc w:val="left"/>
              <w:rPr>
                <w:rFonts w:ascii="宋体" w:hAnsi="宋体"/>
                <w:sz w:val="24"/>
              </w:rPr>
            </w:pPr>
            <w:r>
              <w:rPr>
                <w:rFonts w:ascii="宋体" w:hAnsi="宋体"/>
                <w:sz w:val="24"/>
              </w:rPr>
              <w:t>2-1</w:t>
            </w:r>
          </w:p>
        </w:tc>
        <w:tc>
          <w:tcPr>
            <w:tcW w:w="1813" w:type="dxa"/>
            <w:vAlign w:val="center"/>
          </w:tcPr>
          <w:p w14:paraId="44F9D61B">
            <w:pPr>
              <w:tabs>
                <w:tab w:val="left" w:pos="1080"/>
              </w:tabs>
              <w:snapToGrid w:val="0"/>
              <w:jc w:val="left"/>
              <w:rPr>
                <w:rFonts w:ascii="宋体" w:hAnsi="宋体"/>
                <w:sz w:val="24"/>
              </w:rPr>
            </w:pPr>
            <w:r>
              <w:rPr>
                <w:rFonts w:ascii="宋体" w:hAnsi="宋体"/>
                <w:sz w:val="24"/>
              </w:rPr>
              <w:t>中小企业声明函</w:t>
            </w:r>
          </w:p>
        </w:tc>
        <w:tc>
          <w:tcPr>
            <w:tcW w:w="5103" w:type="dxa"/>
            <w:vAlign w:val="center"/>
          </w:tcPr>
          <w:p w14:paraId="3F9790EA">
            <w:pPr>
              <w:tabs>
                <w:tab w:val="left" w:pos="1080"/>
              </w:tabs>
              <w:snapToGrid w:val="0"/>
              <w:jc w:val="left"/>
              <w:rPr>
                <w:rFonts w:ascii="宋体" w:hAnsi="宋体"/>
                <w:sz w:val="24"/>
              </w:rPr>
            </w:pPr>
            <w:r>
              <w:rPr>
                <w:rFonts w:ascii="宋体" w:hAnsi="宋体"/>
                <w:sz w:val="24"/>
              </w:rPr>
              <w:t xml:space="preserve">当本项目（包）涉及预留份额专门面向中小企业采购，提供如下资料： </w:t>
            </w:r>
          </w:p>
          <w:p w14:paraId="349F494F">
            <w:pPr>
              <w:tabs>
                <w:tab w:val="left" w:pos="1080"/>
              </w:tabs>
              <w:snapToGrid w:val="0"/>
              <w:jc w:val="left"/>
              <w:rPr>
                <w:rFonts w:ascii="宋体" w:hAnsi="宋体"/>
                <w:sz w:val="24"/>
              </w:rPr>
            </w:pPr>
            <w:r>
              <w:rPr>
                <w:rFonts w:ascii="宋体" w:hAnsi="宋体"/>
                <w:sz w:val="24"/>
              </w:rPr>
              <w:t>1、供应商单独响应的，应提供中小企业声明函；如为监狱企业或残疾人福利性单位，不必提供中小企业声明函，但须按注1或注2要求提供证明材料。</w:t>
            </w:r>
          </w:p>
          <w:p w14:paraId="5DCC2F8B">
            <w:pPr>
              <w:tabs>
                <w:tab w:val="left" w:pos="1080"/>
              </w:tabs>
              <w:snapToGrid w:val="0"/>
              <w:jc w:val="left"/>
              <w:rPr>
                <w:rFonts w:ascii="宋体" w:hAnsi="宋体"/>
                <w:sz w:val="24"/>
              </w:rPr>
            </w:pPr>
            <w:r>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7D48CB26">
            <w:pPr>
              <w:tabs>
                <w:tab w:val="left" w:pos="1080"/>
              </w:tabs>
              <w:snapToGrid w:val="0"/>
              <w:jc w:val="left"/>
              <w:rPr>
                <w:rFonts w:ascii="宋体" w:hAnsi="宋体"/>
                <w:sz w:val="24"/>
              </w:rPr>
            </w:pPr>
          </w:p>
          <w:p w14:paraId="6CA660F8">
            <w:pPr>
              <w:tabs>
                <w:tab w:val="left" w:pos="1080"/>
              </w:tabs>
              <w:snapToGrid w:val="0"/>
              <w:jc w:val="left"/>
              <w:rPr>
                <w:rFonts w:ascii="宋体" w:hAnsi="宋体"/>
                <w:sz w:val="24"/>
              </w:rPr>
            </w:pPr>
            <w:r>
              <w:rPr>
                <w:rFonts w:ascii="宋体" w:hAnsi="宋体"/>
                <w:sz w:val="24"/>
              </w:rPr>
              <w:t>注1：监狱企业须提供由省级以上监狱管理局（北京市含教育矫治局）、戒毒管理局（含新疆生产建设兵团）出具的属于监狱企业的证明文件。</w:t>
            </w:r>
          </w:p>
          <w:p w14:paraId="45E30726">
            <w:pPr>
              <w:tabs>
                <w:tab w:val="left" w:pos="1080"/>
              </w:tabs>
              <w:snapToGrid w:val="0"/>
              <w:jc w:val="left"/>
              <w:rPr>
                <w:rFonts w:ascii="宋体" w:hAnsi="宋体"/>
                <w:sz w:val="24"/>
              </w:rPr>
            </w:pPr>
            <w:r>
              <w:rPr>
                <w:rFonts w:ascii="宋体" w:hAnsi="宋体"/>
                <w:sz w:val="24"/>
              </w:rPr>
              <w:t>注2：残疾人福利性单位须按磋商文件要求提供《残疾人福利性单位声明函》。</w:t>
            </w:r>
          </w:p>
        </w:tc>
        <w:tc>
          <w:tcPr>
            <w:tcW w:w="1529" w:type="dxa"/>
            <w:vAlign w:val="center"/>
          </w:tcPr>
          <w:p w14:paraId="31961CCA">
            <w:pPr>
              <w:tabs>
                <w:tab w:val="left" w:pos="1080"/>
              </w:tabs>
              <w:snapToGrid w:val="0"/>
              <w:jc w:val="left"/>
              <w:rPr>
                <w:rFonts w:ascii="宋体" w:hAnsi="宋体"/>
                <w:sz w:val="24"/>
              </w:rPr>
            </w:pPr>
            <w:r>
              <w:rPr>
                <w:rFonts w:ascii="宋体" w:hAnsi="宋体"/>
                <w:sz w:val="24"/>
              </w:rPr>
              <w:t>格式见《响应文件格式》</w:t>
            </w:r>
          </w:p>
        </w:tc>
      </w:tr>
      <w:tr w14:paraId="77D78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468" w:hRule="atLeast"/>
        </w:trPr>
        <w:tc>
          <w:tcPr>
            <w:tcW w:w="847" w:type="dxa"/>
            <w:vAlign w:val="center"/>
          </w:tcPr>
          <w:p w14:paraId="040D1077">
            <w:pPr>
              <w:tabs>
                <w:tab w:val="left" w:pos="1080"/>
              </w:tabs>
              <w:snapToGrid w:val="0"/>
              <w:jc w:val="left"/>
              <w:rPr>
                <w:rFonts w:ascii="宋体" w:hAnsi="宋体"/>
                <w:sz w:val="24"/>
              </w:rPr>
            </w:pPr>
            <w:r>
              <w:rPr>
                <w:rFonts w:ascii="宋体" w:hAnsi="宋体"/>
                <w:sz w:val="24"/>
              </w:rPr>
              <w:t>3</w:t>
            </w:r>
          </w:p>
        </w:tc>
        <w:tc>
          <w:tcPr>
            <w:tcW w:w="1813" w:type="dxa"/>
            <w:vAlign w:val="center"/>
          </w:tcPr>
          <w:p w14:paraId="043D4574">
            <w:pPr>
              <w:tabs>
                <w:tab w:val="left" w:pos="1080"/>
              </w:tabs>
              <w:snapToGrid w:val="0"/>
              <w:jc w:val="left"/>
              <w:rPr>
                <w:rFonts w:ascii="宋体" w:hAnsi="宋体"/>
                <w:sz w:val="24"/>
              </w:rPr>
            </w:pPr>
            <w:r>
              <w:rPr>
                <w:rFonts w:ascii="宋体" w:hAnsi="宋体"/>
                <w:sz w:val="24"/>
              </w:rPr>
              <w:t>本项目的特定资格要求</w:t>
            </w:r>
          </w:p>
        </w:tc>
        <w:tc>
          <w:tcPr>
            <w:tcW w:w="6632" w:type="dxa"/>
            <w:gridSpan w:val="2"/>
            <w:vAlign w:val="center"/>
          </w:tcPr>
          <w:p w14:paraId="3D9E2AAA">
            <w:pPr>
              <w:tabs>
                <w:tab w:val="left" w:pos="1080"/>
              </w:tabs>
              <w:snapToGrid w:val="0"/>
              <w:jc w:val="left"/>
              <w:rPr>
                <w:rFonts w:ascii="宋体" w:hAnsi="宋体"/>
                <w:sz w:val="24"/>
              </w:rPr>
            </w:pPr>
            <w:r>
              <w:rPr>
                <w:rFonts w:ascii="宋体" w:hAnsi="宋体"/>
                <w:sz w:val="24"/>
              </w:rPr>
              <w:t>如有，见第一章《采购邀请》</w:t>
            </w:r>
          </w:p>
        </w:tc>
      </w:tr>
      <w:tr w14:paraId="21680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468" w:hRule="atLeast"/>
        </w:trPr>
        <w:tc>
          <w:tcPr>
            <w:tcW w:w="847" w:type="dxa"/>
            <w:vAlign w:val="center"/>
          </w:tcPr>
          <w:p w14:paraId="223FDB07">
            <w:pPr>
              <w:tabs>
                <w:tab w:val="left" w:pos="1080"/>
              </w:tabs>
              <w:snapToGrid w:val="0"/>
              <w:jc w:val="left"/>
              <w:rPr>
                <w:rFonts w:ascii="宋体" w:hAnsi="宋体"/>
                <w:sz w:val="24"/>
              </w:rPr>
            </w:pPr>
            <w:r>
              <w:rPr>
                <w:rFonts w:ascii="宋体" w:hAnsi="宋体"/>
                <w:sz w:val="24"/>
              </w:rPr>
              <w:t>3-1</w:t>
            </w:r>
          </w:p>
        </w:tc>
        <w:tc>
          <w:tcPr>
            <w:tcW w:w="1813" w:type="dxa"/>
            <w:vAlign w:val="center"/>
          </w:tcPr>
          <w:p w14:paraId="06C257B7">
            <w:pPr>
              <w:tabs>
                <w:tab w:val="left" w:pos="1080"/>
              </w:tabs>
              <w:snapToGrid w:val="0"/>
              <w:jc w:val="left"/>
              <w:rPr>
                <w:rFonts w:ascii="宋体" w:hAnsi="宋体"/>
                <w:sz w:val="24"/>
              </w:rPr>
            </w:pPr>
            <w:r>
              <w:rPr>
                <w:rFonts w:ascii="宋体" w:hAnsi="宋体"/>
                <w:sz w:val="24"/>
              </w:rPr>
              <w:t>其他特定资格要求</w:t>
            </w:r>
          </w:p>
        </w:tc>
        <w:tc>
          <w:tcPr>
            <w:tcW w:w="5103" w:type="dxa"/>
            <w:vAlign w:val="center"/>
          </w:tcPr>
          <w:p w14:paraId="68ABB57C">
            <w:pPr>
              <w:tabs>
                <w:tab w:val="left" w:pos="1080"/>
              </w:tabs>
              <w:snapToGrid w:val="0"/>
              <w:jc w:val="left"/>
              <w:rPr>
                <w:rFonts w:ascii="宋体" w:hAnsi="宋体"/>
                <w:sz w:val="24"/>
              </w:rPr>
            </w:pPr>
            <w:r>
              <w:rPr>
                <w:rFonts w:ascii="宋体" w:hAnsi="宋体"/>
                <w:sz w:val="24"/>
              </w:rPr>
              <w:t>如有，见第一章《采购邀请》</w:t>
            </w:r>
          </w:p>
        </w:tc>
        <w:tc>
          <w:tcPr>
            <w:tcW w:w="1529" w:type="dxa"/>
            <w:vAlign w:val="center"/>
          </w:tcPr>
          <w:p w14:paraId="1E5E441E">
            <w:pPr>
              <w:tabs>
                <w:tab w:val="left" w:pos="1080"/>
              </w:tabs>
              <w:snapToGrid w:val="0"/>
              <w:jc w:val="left"/>
              <w:rPr>
                <w:rFonts w:ascii="宋体" w:hAnsi="宋体"/>
                <w:sz w:val="24"/>
              </w:rPr>
            </w:pPr>
            <w:r>
              <w:rPr>
                <w:rFonts w:hint="eastAsia" w:ascii="宋体" w:hAnsi="宋体"/>
                <w:sz w:val="24"/>
              </w:rPr>
              <w:t>提供证明文件的复印件加盖公章</w:t>
            </w:r>
          </w:p>
        </w:tc>
      </w:tr>
    </w:tbl>
    <w:p w14:paraId="2EC36B96">
      <w:pPr>
        <w:widowControl/>
        <w:jc w:val="left"/>
        <w:rPr>
          <w:rFonts w:ascii="宋体" w:hAnsi="宋体"/>
          <w:sz w:val="24"/>
        </w:rPr>
      </w:pPr>
      <w:r>
        <w:rPr>
          <w:rFonts w:ascii="宋体" w:hAnsi="宋体"/>
          <w:sz w:val="24"/>
        </w:rPr>
        <w:br w:type="page"/>
      </w:r>
    </w:p>
    <w:p w14:paraId="1A0319C9">
      <w:pPr>
        <w:numPr>
          <w:ilvl w:val="1"/>
          <w:numId w:val="17"/>
        </w:numPr>
        <w:tabs>
          <w:tab w:val="left" w:pos="1080"/>
        </w:tabs>
        <w:snapToGrid w:val="0"/>
        <w:spacing w:line="360" w:lineRule="auto"/>
        <w:ind w:left="1077" w:hanging="720"/>
        <w:rPr>
          <w:rFonts w:ascii="宋体" w:hAnsi="宋体"/>
          <w:sz w:val="24"/>
        </w:rPr>
      </w:pPr>
      <w:r>
        <w:rPr>
          <w:rFonts w:ascii="宋体" w:hAnsi="宋体"/>
          <w:sz w:val="24"/>
        </w:rPr>
        <w:t>《符合性审查要求》见下表：</w:t>
      </w:r>
    </w:p>
    <w:p w14:paraId="0400E1A8">
      <w:pPr>
        <w:widowControl/>
        <w:spacing w:line="360" w:lineRule="auto"/>
        <w:jc w:val="center"/>
        <w:rPr>
          <w:rFonts w:ascii="宋体" w:hAnsi="宋体"/>
          <w:b/>
          <w:kern w:val="0"/>
          <w:sz w:val="24"/>
        </w:rPr>
      </w:pPr>
      <w:r>
        <w:rPr>
          <w:rFonts w:ascii="宋体" w:hAnsi="宋体"/>
          <w:b/>
          <w:kern w:val="0"/>
          <w:sz w:val="24"/>
        </w:rPr>
        <w:t>符合性审查要求</w:t>
      </w:r>
    </w:p>
    <w:tbl>
      <w:tblPr>
        <w:tblStyle w:val="6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190"/>
        <w:gridCol w:w="4712"/>
        <w:gridCol w:w="1395"/>
      </w:tblGrid>
      <w:tr w14:paraId="445D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30DD8EE6">
            <w:pPr>
              <w:widowControl/>
              <w:jc w:val="center"/>
              <w:rPr>
                <w:rFonts w:ascii="宋体" w:hAnsi="宋体"/>
                <w:b/>
                <w:kern w:val="0"/>
                <w:sz w:val="24"/>
              </w:rPr>
            </w:pPr>
            <w:r>
              <w:rPr>
                <w:rFonts w:ascii="宋体" w:hAnsi="宋体"/>
                <w:b/>
                <w:kern w:val="0"/>
                <w:sz w:val="24"/>
              </w:rPr>
              <w:t>序号</w:t>
            </w:r>
          </w:p>
        </w:tc>
        <w:tc>
          <w:tcPr>
            <w:tcW w:w="2190" w:type="dxa"/>
            <w:shd w:val="clear" w:color="000000" w:fill="FFFFFF"/>
            <w:vAlign w:val="center"/>
          </w:tcPr>
          <w:p w14:paraId="3EBFCF1E">
            <w:pPr>
              <w:widowControl/>
              <w:jc w:val="center"/>
              <w:rPr>
                <w:rFonts w:ascii="宋体" w:hAnsi="宋体"/>
                <w:b/>
                <w:kern w:val="0"/>
                <w:sz w:val="24"/>
              </w:rPr>
            </w:pPr>
            <w:r>
              <w:rPr>
                <w:rFonts w:ascii="宋体" w:hAnsi="宋体"/>
                <w:b/>
                <w:sz w:val="24"/>
              </w:rPr>
              <w:t>检查</w:t>
            </w:r>
            <w:r>
              <w:rPr>
                <w:rFonts w:ascii="宋体" w:hAnsi="宋体"/>
                <w:b/>
                <w:kern w:val="0"/>
                <w:sz w:val="24"/>
              </w:rPr>
              <w:t>因素</w:t>
            </w:r>
          </w:p>
        </w:tc>
        <w:tc>
          <w:tcPr>
            <w:tcW w:w="4712" w:type="dxa"/>
            <w:shd w:val="clear" w:color="000000" w:fill="FFFFFF"/>
            <w:vAlign w:val="center"/>
          </w:tcPr>
          <w:p w14:paraId="5F798943">
            <w:pPr>
              <w:widowControl/>
              <w:jc w:val="center"/>
              <w:rPr>
                <w:rFonts w:ascii="宋体" w:hAnsi="宋体"/>
                <w:b/>
                <w:kern w:val="0"/>
                <w:sz w:val="24"/>
              </w:rPr>
            </w:pPr>
            <w:r>
              <w:rPr>
                <w:rFonts w:ascii="宋体" w:hAnsi="宋体"/>
                <w:b/>
                <w:sz w:val="24"/>
              </w:rPr>
              <w:t>检查</w:t>
            </w:r>
            <w:r>
              <w:rPr>
                <w:rFonts w:ascii="宋体" w:hAnsi="宋体"/>
                <w:b/>
                <w:kern w:val="0"/>
                <w:sz w:val="24"/>
              </w:rPr>
              <w:t>内容</w:t>
            </w:r>
          </w:p>
        </w:tc>
        <w:tc>
          <w:tcPr>
            <w:tcW w:w="1395" w:type="dxa"/>
            <w:shd w:val="clear" w:color="000000" w:fill="FFFFFF"/>
            <w:vAlign w:val="center"/>
          </w:tcPr>
          <w:p w14:paraId="5493C799">
            <w:pPr>
              <w:widowControl/>
              <w:jc w:val="center"/>
              <w:rPr>
                <w:rFonts w:ascii="宋体" w:hAnsi="宋体"/>
                <w:b/>
                <w:sz w:val="24"/>
              </w:rPr>
            </w:pPr>
            <w:r>
              <w:rPr>
                <w:rFonts w:ascii="宋体" w:hAnsi="宋体"/>
                <w:b/>
                <w:sz w:val="24"/>
              </w:rPr>
              <w:t>是否允许澄清、说明或者更正</w:t>
            </w:r>
          </w:p>
        </w:tc>
      </w:tr>
      <w:tr w14:paraId="2782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44A9479A">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2D2CABD3">
            <w:pPr>
              <w:widowControl/>
              <w:jc w:val="center"/>
              <w:rPr>
                <w:rFonts w:ascii="宋体" w:hAnsi="宋体"/>
                <w:kern w:val="0"/>
                <w:sz w:val="24"/>
              </w:rPr>
            </w:pPr>
            <w:r>
              <w:rPr>
                <w:rFonts w:ascii="宋体" w:hAnsi="宋体"/>
                <w:kern w:val="0"/>
                <w:sz w:val="24"/>
              </w:rPr>
              <w:t>授权委托书</w:t>
            </w:r>
          </w:p>
        </w:tc>
        <w:tc>
          <w:tcPr>
            <w:tcW w:w="4712" w:type="dxa"/>
            <w:shd w:val="clear" w:color="000000" w:fill="FFFFFF"/>
            <w:vAlign w:val="center"/>
          </w:tcPr>
          <w:p w14:paraId="25C87F11">
            <w:pPr>
              <w:widowControl/>
              <w:rPr>
                <w:rFonts w:ascii="宋体" w:hAnsi="宋体"/>
                <w:kern w:val="0"/>
                <w:sz w:val="24"/>
              </w:rPr>
            </w:pPr>
            <w:r>
              <w:rPr>
                <w:rFonts w:ascii="宋体" w:hAnsi="宋体"/>
                <w:kern w:val="0"/>
                <w:sz w:val="24"/>
              </w:rPr>
              <w:t>按</w:t>
            </w:r>
            <w:r>
              <w:rPr>
                <w:rFonts w:hint="eastAsia" w:ascii="宋体" w:hAnsi="宋体"/>
                <w:kern w:val="0"/>
                <w:sz w:val="24"/>
              </w:rPr>
              <w:t>采购</w:t>
            </w:r>
            <w:r>
              <w:rPr>
                <w:rFonts w:ascii="宋体" w:hAnsi="宋体"/>
                <w:kern w:val="0"/>
                <w:sz w:val="24"/>
              </w:rPr>
              <w:t>文件要求提供授权委托书；</w:t>
            </w:r>
          </w:p>
        </w:tc>
        <w:tc>
          <w:tcPr>
            <w:tcW w:w="1395" w:type="dxa"/>
            <w:shd w:val="clear" w:color="000000" w:fill="FFFFFF"/>
            <w:vAlign w:val="center"/>
          </w:tcPr>
          <w:p w14:paraId="17BF789C">
            <w:pPr>
              <w:widowControl/>
              <w:spacing w:line="360" w:lineRule="auto"/>
              <w:jc w:val="center"/>
              <w:rPr>
                <w:rFonts w:ascii="宋体" w:hAnsi="宋体"/>
                <w:kern w:val="0"/>
                <w:sz w:val="24"/>
              </w:rPr>
            </w:pPr>
            <w:r>
              <w:rPr>
                <w:rFonts w:hint="eastAsia" w:ascii="宋体" w:hAnsi="宋体"/>
                <w:kern w:val="0"/>
                <w:sz w:val="24"/>
              </w:rPr>
              <w:t>否</w:t>
            </w:r>
          </w:p>
        </w:tc>
      </w:tr>
      <w:tr w14:paraId="312E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5B1E7EF5">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3BF96C46">
            <w:pPr>
              <w:widowControl/>
              <w:jc w:val="center"/>
              <w:rPr>
                <w:rFonts w:ascii="宋体" w:hAnsi="宋体"/>
                <w:kern w:val="0"/>
                <w:sz w:val="24"/>
              </w:rPr>
            </w:pPr>
            <w:r>
              <w:rPr>
                <w:rFonts w:hint="eastAsia" w:ascii="宋体" w:hAnsi="宋体"/>
                <w:kern w:val="0"/>
                <w:sz w:val="24"/>
              </w:rPr>
              <w:t>响应</w:t>
            </w:r>
            <w:r>
              <w:rPr>
                <w:rFonts w:ascii="宋体" w:hAnsi="宋体"/>
                <w:kern w:val="0"/>
                <w:sz w:val="24"/>
              </w:rPr>
              <w:t>完整性</w:t>
            </w:r>
          </w:p>
        </w:tc>
        <w:tc>
          <w:tcPr>
            <w:tcW w:w="4712" w:type="dxa"/>
            <w:shd w:val="clear" w:color="000000" w:fill="FFFFFF"/>
            <w:vAlign w:val="center"/>
          </w:tcPr>
          <w:p w14:paraId="6ABB8927">
            <w:pPr>
              <w:widowControl/>
              <w:rPr>
                <w:rFonts w:ascii="宋体" w:hAnsi="宋体"/>
                <w:kern w:val="0"/>
                <w:sz w:val="24"/>
              </w:rPr>
            </w:pPr>
            <w:r>
              <w:rPr>
                <w:rFonts w:hint="eastAsia" w:ascii="宋体" w:hAnsi="宋体"/>
                <w:sz w:val="24"/>
              </w:rPr>
              <w:t>未</w:t>
            </w:r>
            <w:r>
              <w:rPr>
                <w:rFonts w:ascii="宋体" w:hAnsi="宋体"/>
                <w:sz w:val="24"/>
              </w:rPr>
              <w:t>将一个采购包中的内容拆开</w:t>
            </w:r>
            <w:r>
              <w:rPr>
                <w:rFonts w:hint="eastAsia" w:ascii="宋体" w:hAnsi="宋体"/>
                <w:sz w:val="24"/>
              </w:rPr>
              <w:t>响应</w:t>
            </w:r>
            <w:r>
              <w:rPr>
                <w:rFonts w:ascii="宋体" w:hAnsi="宋体"/>
                <w:sz w:val="24"/>
              </w:rPr>
              <w:t>；</w:t>
            </w:r>
          </w:p>
        </w:tc>
        <w:tc>
          <w:tcPr>
            <w:tcW w:w="1395" w:type="dxa"/>
            <w:shd w:val="clear" w:color="000000" w:fill="FFFFFF"/>
            <w:vAlign w:val="center"/>
          </w:tcPr>
          <w:p w14:paraId="37898133">
            <w:pPr>
              <w:widowControl/>
              <w:spacing w:line="360" w:lineRule="auto"/>
              <w:jc w:val="center"/>
              <w:rPr>
                <w:rFonts w:ascii="宋体" w:hAnsi="宋体"/>
                <w:sz w:val="24"/>
              </w:rPr>
            </w:pPr>
            <w:r>
              <w:rPr>
                <w:rFonts w:hint="eastAsia" w:ascii="宋体" w:hAnsi="宋体"/>
                <w:kern w:val="0"/>
                <w:sz w:val="24"/>
              </w:rPr>
              <w:t>否</w:t>
            </w:r>
          </w:p>
        </w:tc>
      </w:tr>
      <w:tr w14:paraId="1801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5785B893">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4006BA37">
            <w:pPr>
              <w:widowControl/>
              <w:jc w:val="center"/>
              <w:rPr>
                <w:rFonts w:ascii="宋体" w:hAnsi="宋体"/>
                <w:kern w:val="0"/>
                <w:sz w:val="24"/>
              </w:rPr>
            </w:pPr>
            <w:r>
              <w:rPr>
                <w:rFonts w:hint="eastAsia" w:ascii="宋体" w:hAnsi="宋体"/>
                <w:kern w:val="0"/>
                <w:sz w:val="24"/>
              </w:rPr>
              <w:t>磋商</w:t>
            </w:r>
            <w:r>
              <w:rPr>
                <w:rFonts w:ascii="宋体" w:hAnsi="宋体"/>
                <w:kern w:val="0"/>
                <w:sz w:val="24"/>
              </w:rPr>
              <w:t>报价</w:t>
            </w:r>
          </w:p>
        </w:tc>
        <w:tc>
          <w:tcPr>
            <w:tcW w:w="4712" w:type="dxa"/>
            <w:shd w:val="clear" w:color="000000" w:fill="FFFFFF"/>
            <w:vAlign w:val="center"/>
          </w:tcPr>
          <w:p w14:paraId="5D22AF83">
            <w:pPr>
              <w:widowControl/>
              <w:rPr>
                <w:rFonts w:ascii="宋体" w:hAnsi="宋体"/>
                <w:kern w:val="0"/>
                <w:sz w:val="24"/>
              </w:rPr>
            </w:pPr>
            <w:r>
              <w:rPr>
                <w:rFonts w:hint="eastAsia" w:ascii="宋体" w:hAnsi="宋体"/>
                <w:kern w:val="0"/>
                <w:sz w:val="24"/>
              </w:rPr>
              <w:t>响应</w:t>
            </w:r>
            <w:r>
              <w:rPr>
                <w:rFonts w:ascii="宋体" w:hAnsi="宋体"/>
                <w:kern w:val="0"/>
                <w:sz w:val="24"/>
              </w:rPr>
              <w:t>报价</w:t>
            </w:r>
            <w:r>
              <w:rPr>
                <w:rFonts w:hint="eastAsia" w:ascii="宋体" w:hAnsi="宋体"/>
                <w:kern w:val="0"/>
                <w:sz w:val="24"/>
              </w:rPr>
              <w:t>未</w:t>
            </w:r>
            <w:r>
              <w:rPr>
                <w:rFonts w:ascii="宋体" w:hAnsi="宋体"/>
                <w:sz w:val="24"/>
              </w:rPr>
              <w:t>超过</w:t>
            </w:r>
            <w:r>
              <w:rPr>
                <w:rFonts w:hint="eastAsia" w:ascii="宋体" w:hAnsi="宋体"/>
                <w:sz w:val="24"/>
              </w:rPr>
              <w:t>采购</w:t>
            </w:r>
            <w:r>
              <w:rPr>
                <w:rFonts w:ascii="宋体" w:hAnsi="宋体"/>
                <w:sz w:val="24"/>
              </w:rPr>
              <w:t>文件中规定的采购包最高限价</w:t>
            </w:r>
            <w:r>
              <w:rPr>
                <w:rFonts w:ascii="宋体" w:hAnsi="宋体"/>
                <w:kern w:val="0"/>
                <w:sz w:val="24"/>
              </w:rPr>
              <w:t>；</w:t>
            </w:r>
          </w:p>
        </w:tc>
        <w:tc>
          <w:tcPr>
            <w:tcW w:w="1395" w:type="dxa"/>
            <w:shd w:val="clear" w:color="000000" w:fill="FFFFFF"/>
            <w:vAlign w:val="center"/>
          </w:tcPr>
          <w:p w14:paraId="16B42523">
            <w:pPr>
              <w:widowControl/>
              <w:spacing w:line="360" w:lineRule="auto"/>
              <w:jc w:val="center"/>
              <w:rPr>
                <w:rFonts w:ascii="宋体" w:hAnsi="宋体"/>
                <w:kern w:val="0"/>
                <w:sz w:val="24"/>
              </w:rPr>
            </w:pPr>
            <w:r>
              <w:rPr>
                <w:rFonts w:hint="eastAsia" w:ascii="宋体" w:hAnsi="宋体"/>
                <w:kern w:val="0"/>
                <w:sz w:val="24"/>
              </w:rPr>
              <w:t>否</w:t>
            </w:r>
          </w:p>
        </w:tc>
      </w:tr>
      <w:tr w14:paraId="03D7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07446C1E">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66F4612F">
            <w:pPr>
              <w:widowControl/>
              <w:jc w:val="center"/>
              <w:rPr>
                <w:rFonts w:ascii="宋体" w:hAnsi="宋体"/>
                <w:kern w:val="0"/>
                <w:sz w:val="24"/>
              </w:rPr>
            </w:pPr>
            <w:r>
              <w:rPr>
                <w:rFonts w:ascii="宋体" w:hAnsi="宋体"/>
                <w:kern w:val="0"/>
                <w:sz w:val="24"/>
              </w:rPr>
              <w:t>报价唯一性</w:t>
            </w:r>
          </w:p>
        </w:tc>
        <w:tc>
          <w:tcPr>
            <w:tcW w:w="4712" w:type="dxa"/>
            <w:shd w:val="clear" w:color="000000" w:fill="FFFFFF"/>
            <w:vAlign w:val="center"/>
          </w:tcPr>
          <w:p w14:paraId="4841414F">
            <w:pPr>
              <w:widowControl/>
              <w:rPr>
                <w:rFonts w:ascii="宋体" w:hAnsi="宋体"/>
                <w:kern w:val="0"/>
                <w:sz w:val="24"/>
              </w:rPr>
            </w:pPr>
            <w:r>
              <w:rPr>
                <w:rFonts w:hint="eastAsia" w:ascii="宋体" w:hAnsi="宋体"/>
                <w:kern w:val="0"/>
                <w:sz w:val="24"/>
              </w:rPr>
              <w:t>响应</w:t>
            </w:r>
            <w:r>
              <w:rPr>
                <w:rFonts w:ascii="宋体" w:hAnsi="宋体"/>
                <w:kern w:val="0"/>
                <w:sz w:val="24"/>
              </w:rPr>
              <w:t>文件</w:t>
            </w:r>
            <w:r>
              <w:rPr>
                <w:rFonts w:hint="eastAsia" w:ascii="宋体" w:hAnsi="宋体"/>
                <w:kern w:val="0"/>
                <w:sz w:val="24"/>
              </w:rPr>
              <w:t>未</w:t>
            </w:r>
            <w:r>
              <w:rPr>
                <w:rFonts w:hint="eastAsia" w:ascii="宋体" w:hAnsi="宋体"/>
                <w:sz w:val="24"/>
              </w:rPr>
              <w:t>出现可选择性或可调整的报价（采购文件另有规定的除外）</w:t>
            </w:r>
            <w:r>
              <w:rPr>
                <w:rFonts w:ascii="宋体" w:hAnsi="宋体"/>
                <w:kern w:val="0"/>
                <w:sz w:val="24"/>
              </w:rPr>
              <w:t>；</w:t>
            </w:r>
          </w:p>
        </w:tc>
        <w:tc>
          <w:tcPr>
            <w:tcW w:w="1395" w:type="dxa"/>
            <w:shd w:val="clear" w:color="000000" w:fill="FFFFFF"/>
            <w:vAlign w:val="center"/>
          </w:tcPr>
          <w:p w14:paraId="0A73497F">
            <w:pPr>
              <w:widowControl/>
              <w:spacing w:line="360" w:lineRule="auto"/>
              <w:jc w:val="center"/>
              <w:rPr>
                <w:rFonts w:ascii="宋体" w:hAnsi="宋体"/>
                <w:kern w:val="0"/>
                <w:sz w:val="24"/>
              </w:rPr>
            </w:pPr>
            <w:r>
              <w:rPr>
                <w:rFonts w:hint="eastAsia" w:ascii="宋体" w:hAnsi="宋体"/>
                <w:kern w:val="0"/>
                <w:sz w:val="24"/>
              </w:rPr>
              <w:t>否</w:t>
            </w:r>
          </w:p>
        </w:tc>
      </w:tr>
      <w:tr w14:paraId="06F4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73B6FA20">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4DA6A458">
            <w:pPr>
              <w:widowControl/>
              <w:jc w:val="center"/>
              <w:rPr>
                <w:rFonts w:ascii="宋体" w:hAnsi="宋体"/>
                <w:kern w:val="0"/>
                <w:sz w:val="24"/>
              </w:rPr>
            </w:pPr>
            <w:r>
              <w:rPr>
                <w:rFonts w:hint="eastAsia" w:ascii="宋体" w:hAnsi="宋体"/>
                <w:kern w:val="0"/>
                <w:sz w:val="24"/>
              </w:rPr>
              <w:t>响应</w:t>
            </w:r>
            <w:r>
              <w:rPr>
                <w:rFonts w:ascii="宋体" w:hAnsi="宋体"/>
                <w:kern w:val="0"/>
                <w:sz w:val="24"/>
              </w:rPr>
              <w:t>有效期</w:t>
            </w:r>
          </w:p>
        </w:tc>
        <w:tc>
          <w:tcPr>
            <w:tcW w:w="4712" w:type="dxa"/>
            <w:shd w:val="clear" w:color="000000" w:fill="FFFFFF"/>
            <w:vAlign w:val="center"/>
          </w:tcPr>
          <w:p w14:paraId="0CFBB497">
            <w:pPr>
              <w:widowControl/>
              <w:rPr>
                <w:rFonts w:ascii="宋体" w:hAnsi="宋体"/>
                <w:kern w:val="0"/>
                <w:sz w:val="24"/>
              </w:rPr>
            </w:pPr>
            <w:r>
              <w:rPr>
                <w:rFonts w:hint="eastAsia" w:ascii="宋体" w:hAnsi="宋体"/>
                <w:kern w:val="0"/>
                <w:sz w:val="24"/>
              </w:rPr>
              <w:t>响应</w:t>
            </w:r>
            <w:r>
              <w:rPr>
                <w:rFonts w:ascii="宋体" w:hAnsi="宋体"/>
                <w:kern w:val="0"/>
                <w:sz w:val="24"/>
              </w:rPr>
              <w:t>文件中承诺的</w:t>
            </w:r>
            <w:r>
              <w:rPr>
                <w:rFonts w:hint="eastAsia" w:ascii="宋体" w:hAnsi="宋体"/>
                <w:kern w:val="0"/>
                <w:sz w:val="24"/>
              </w:rPr>
              <w:t>响应</w:t>
            </w:r>
            <w:r>
              <w:rPr>
                <w:rFonts w:ascii="宋体" w:hAnsi="宋体"/>
                <w:kern w:val="0"/>
                <w:sz w:val="24"/>
              </w:rPr>
              <w:t>有效期</w:t>
            </w:r>
            <w:r>
              <w:rPr>
                <w:rFonts w:hint="eastAsia" w:ascii="宋体" w:hAnsi="宋体"/>
                <w:kern w:val="0"/>
                <w:sz w:val="24"/>
              </w:rPr>
              <w:t>满足采购</w:t>
            </w:r>
            <w:r>
              <w:rPr>
                <w:rFonts w:ascii="宋体" w:hAnsi="宋体"/>
                <w:kern w:val="0"/>
                <w:sz w:val="24"/>
              </w:rPr>
              <w:t>文件中载明的</w:t>
            </w:r>
            <w:r>
              <w:rPr>
                <w:rFonts w:hint="eastAsia" w:ascii="宋体" w:hAnsi="宋体"/>
                <w:kern w:val="0"/>
                <w:sz w:val="24"/>
              </w:rPr>
              <w:t>响应</w:t>
            </w:r>
            <w:r>
              <w:rPr>
                <w:rFonts w:ascii="宋体" w:hAnsi="宋体"/>
                <w:kern w:val="0"/>
                <w:sz w:val="24"/>
              </w:rPr>
              <w:t>有效期的；</w:t>
            </w:r>
          </w:p>
        </w:tc>
        <w:tc>
          <w:tcPr>
            <w:tcW w:w="1395" w:type="dxa"/>
            <w:shd w:val="clear" w:color="000000" w:fill="FFFFFF"/>
            <w:vAlign w:val="center"/>
          </w:tcPr>
          <w:p w14:paraId="2F4BB88F">
            <w:pPr>
              <w:widowControl/>
              <w:spacing w:line="360" w:lineRule="auto"/>
              <w:jc w:val="center"/>
              <w:rPr>
                <w:rFonts w:ascii="宋体" w:hAnsi="宋体"/>
                <w:kern w:val="0"/>
                <w:sz w:val="24"/>
              </w:rPr>
            </w:pPr>
            <w:r>
              <w:rPr>
                <w:rFonts w:hint="eastAsia" w:ascii="宋体" w:hAnsi="宋体"/>
                <w:kern w:val="0"/>
                <w:sz w:val="24"/>
              </w:rPr>
              <w:t>否</w:t>
            </w:r>
          </w:p>
        </w:tc>
      </w:tr>
      <w:tr w14:paraId="4164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5A9D4648">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5E9E2DDE">
            <w:pPr>
              <w:widowControl/>
              <w:jc w:val="center"/>
              <w:rPr>
                <w:rFonts w:ascii="宋体" w:hAnsi="宋体"/>
                <w:kern w:val="0"/>
                <w:sz w:val="24"/>
              </w:rPr>
            </w:pPr>
            <w:r>
              <w:rPr>
                <w:rFonts w:hint="eastAsia" w:ascii="宋体" w:hAnsi="宋体"/>
                <w:kern w:val="0"/>
                <w:sz w:val="24"/>
              </w:rPr>
              <w:t>工期</w:t>
            </w:r>
          </w:p>
        </w:tc>
        <w:tc>
          <w:tcPr>
            <w:tcW w:w="4712" w:type="dxa"/>
            <w:shd w:val="clear" w:color="000000" w:fill="FFFFFF"/>
            <w:vAlign w:val="center"/>
          </w:tcPr>
          <w:p w14:paraId="75528532">
            <w:pPr>
              <w:widowControl/>
              <w:rPr>
                <w:rFonts w:ascii="宋体" w:hAnsi="宋体"/>
                <w:kern w:val="0"/>
                <w:sz w:val="24"/>
              </w:rPr>
            </w:pPr>
            <w:r>
              <w:rPr>
                <w:rFonts w:hint="eastAsia" w:ascii="宋体" w:hAnsi="宋体"/>
                <w:kern w:val="0"/>
                <w:sz w:val="24"/>
              </w:rPr>
              <w:t>响应</w:t>
            </w:r>
            <w:r>
              <w:rPr>
                <w:rFonts w:ascii="宋体" w:hAnsi="宋体"/>
                <w:kern w:val="0"/>
                <w:sz w:val="24"/>
              </w:rPr>
              <w:t>文件中承诺的</w:t>
            </w:r>
            <w:r>
              <w:rPr>
                <w:rFonts w:hint="eastAsia" w:ascii="宋体" w:hAnsi="宋体"/>
                <w:kern w:val="0"/>
                <w:sz w:val="24"/>
              </w:rPr>
              <w:t>工期要求满足采购</w:t>
            </w:r>
            <w:r>
              <w:rPr>
                <w:rFonts w:ascii="宋体" w:hAnsi="宋体"/>
                <w:kern w:val="0"/>
                <w:sz w:val="24"/>
              </w:rPr>
              <w:t>文件中载明的</w:t>
            </w:r>
            <w:r>
              <w:rPr>
                <w:rFonts w:hint="eastAsia" w:ascii="宋体" w:hAnsi="宋体"/>
                <w:kern w:val="0"/>
                <w:sz w:val="24"/>
              </w:rPr>
              <w:t>工期</w:t>
            </w:r>
            <w:r>
              <w:rPr>
                <w:rFonts w:ascii="宋体" w:hAnsi="宋体"/>
                <w:kern w:val="0"/>
                <w:sz w:val="24"/>
              </w:rPr>
              <w:t>的</w:t>
            </w:r>
            <w:r>
              <w:rPr>
                <w:rFonts w:hint="eastAsia" w:ascii="宋体" w:hAnsi="宋体"/>
                <w:kern w:val="0"/>
                <w:sz w:val="24"/>
              </w:rPr>
              <w:t>；</w:t>
            </w:r>
          </w:p>
        </w:tc>
        <w:tc>
          <w:tcPr>
            <w:tcW w:w="1395" w:type="dxa"/>
            <w:shd w:val="clear" w:color="000000" w:fill="FFFFFF"/>
            <w:vAlign w:val="center"/>
          </w:tcPr>
          <w:p w14:paraId="79CCD06A">
            <w:pPr>
              <w:widowControl/>
              <w:spacing w:line="360" w:lineRule="auto"/>
              <w:jc w:val="center"/>
              <w:rPr>
                <w:rFonts w:ascii="宋体" w:hAnsi="宋体"/>
                <w:kern w:val="0"/>
                <w:sz w:val="24"/>
              </w:rPr>
            </w:pPr>
            <w:r>
              <w:rPr>
                <w:rFonts w:hint="eastAsia" w:ascii="宋体" w:hAnsi="宋体"/>
                <w:kern w:val="0"/>
                <w:sz w:val="24"/>
              </w:rPr>
              <w:t>否</w:t>
            </w:r>
          </w:p>
        </w:tc>
      </w:tr>
      <w:tr w14:paraId="274F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41BA6E18">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281E650A">
            <w:pPr>
              <w:widowControl/>
              <w:jc w:val="center"/>
              <w:rPr>
                <w:rFonts w:ascii="宋体" w:hAnsi="宋体"/>
                <w:kern w:val="0"/>
                <w:sz w:val="24"/>
              </w:rPr>
            </w:pPr>
            <w:r>
              <w:rPr>
                <w:rFonts w:hint="eastAsia" w:ascii="宋体" w:hAnsi="宋体"/>
                <w:kern w:val="0"/>
                <w:sz w:val="24"/>
              </w:rPr>
              <w:t>质量标准</w:t>
            </w:r>
          </w:p>
        </w:tc>
        <w:tc>
          <w:tcPr>
            <w:tcW w:w="4712" w:type="dxa"/>
            <w:shd w:val="clear" w:color="000000" w:fill="FFFFFF"/>
            <w:vAlign w:val="center"/>
          </w:tcPr>
          <w:p w14:paraId="3116EDB3">
            <w:pPr>
              <w:widowControl/>
              <w:rPr>
                <w:rFonts w:ascii="宋体" w:hAnsi="宋体"/>
                <w:kern w:val="0"/>
                <w:sz w:val="24"/>
              </w:rPr>
            </w:pPr>
            <w:r>
              <w:rPr>
                <w:rFonts w:hint="eastAsia" w:ascii="宋体" w:hAnsi="宋体"/>
                <w:kern w:val="0"/>
                <w:sz w:val="24"/>
              </w:rPr>
              <w:t>响应</w:t>
            </w:r>
            <w:r>
              <w:rPr>
                <w:rFonts w:ascii="宋体" w:hAnsi="宋体"/>
                <w:kern w:val="0"/>
                <w:sz w:val="24"/>
              </w:rPr>
              <w:t>文件中承诺的</w:t>
            </w:r>
            <w:r>
              <w:rPr>
                <w:rFonts w:hint="eastAsia" w:ascii="宋体" w:hAnsi="宋体"/>
                <w:kern w:val="0"/>
                <w:sz w:val="24"/>
              </w:rPr>
              <w:t>质量标准满足采购</w:t>
            </w:r>
            <w:r>
              <w:rPr>
                <w:rFonts w:ascii="宋体" w:hAnsi="宋体"/>
                <w:kern w:val="0"/>
                <w:sz w:val="24"/>
              </w:rPr>
              <w:t>文件中载明的</w:t>
            </w:r>
            <w:r>
              <w:rPr>
                <w:rFonts w:hint="eastAsia" w:ascii="宋体" w:hAnsi="宋体"/>
                <w:kern w:val="0"/>
                <w:sz w:val="24"/>
              </w:rPr>
              <w:t>标准</w:t>
            </w:r>
            <w:r>
              <w:rPr>
                <w:rFonts w:ascii="宋体" w:hAnsi="宋体"/>
                <w:kern w:val="0"/>
                <w:sz w:val="24"/>
              </w:rPr>
              <w:t>的</w:t>
            </w:r>
            <w:r>
              <w:rPr>
                <w:rFonts w:hint="eastAsia" w:ascii="宋体" w:hAnsi="宋体"/>
                <w:kern w:val="0"/>
                <w:sz w:val="24"/>
              </w:rPr>
              <w:t>；</w:t>
            </w:r>
          </w:p>
        </w:tc>
        <w:tc>
          <w:tcPr>
            <w:tcW w:w="1395" w:type="dxa"/>
            <w:shd w:val="clear" w:color="000000" w:fill="FFFFFF"/>
            <w:vAlign w:val="center"/>
          </w:tcPr>
          <w:p w14:paraId="57A9C74A">
            <w:pPr>
              <w:widowControl/>
              <w:spacing w:line="360" w:lineRule="auto"/>
              <w:jc w:val="center"/>
              <w:rPr>
                <w:rFonts w:ascii="宋体" w:hAnsi="宋体"/>
                <w:kern w:val="0"/>
                <w:sz w:val="24"/>
              </w:rPr>
            </w:pPr>
            <w:r>
              <w:rPr>
                <w:rFonts w:hint="eastAsia" w:ascii="宋体" w:hAnsi="宋体"/>
                <w:kern w:val="0"/>
                <w:sz w:val="24"/>
              </w:rPr>
              <w:t>否</w:t>
            </w:r>
          </w:p>
        </w:tc>
      </w:tr>
      <w:tr w14:paraId="3FC4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69300912">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72D8D81E">
            <w:pPr>
              <w:widowControl/>
              <w:jc w:val="center"/>
              <w:rPr>
                <w:rFonts w:ascii="宋体" w:hAnsi="宋体"/>
                <w:kern w:val="0"/>
                <w:sz w:val="24"/>
              </w:rPr>
            </w:pPr>
            <w:r>
              <w:rPr>
                <w:rFonts w:hint="eastAsia" w:ascii="宋体" w:hAnsi="宋体"/>
                <w:kern w:val="0"/>
                <w:sz w:val="24"/>
              </w:rPr>
              <w:t>★号条款响应</w:t>
            </w:r>
          </w:p>
        </w:tc>
        <w:tc>
          <w:tcPr>
            <w:tcW w:w="4712" w:type="dxa"/>
            <w:shd w:val="clear" w:color="000000" w:fill="FFFFFF"/>
            <w:vAlign w:val="center"/>
          </w:tcPr>
          <w:p w14:paraId="03E7FC46">
            <w:pPr>
              <w:widowControl/>
              <w:rPr>
                <w:rFonts w:ascii="宋体" w:hAnsi="宋体"/>
                <w:kern w:val="0"/>
                <w:sz w:val="24"/>
              </w:rPr>
            </w:pPr>
            <w:r>
              <w:rPr>
                <w:rFonts w:hint="eastAsia" w:ascii="宋体" w:hAnsi="宋体"/>
                <w:kern w:val="0"/>
                <w:sz w:val="24"/>
              </w:rPr>
              <w:t>响应文件满足磋商文件第四章《采购需求》中★号条款求的；</w:t>
            </w:r>
          </w:p>
        </w:tc>
        <w:tc>
          <w:tcPr>
            <w:tcW w:w="1395" w:type="dxa"/>
            <w:shd w:val="clear" w:color="000000" w:fill="FFFFFF"/>
            <w:vAlign w:val="center"/>
          </w:tcPr>
          <w:p w14:paraId="75C5C931">
            <w:pPr>
              <w:widowControl/>
              <w:spacing w:line="360" w:lineRule="auto"/>
              <w:jc w:val="center"/>
              <w:rPr>
                <w:rFonts w:ascii="宋体" w:hAnsi="宋体"/>
                <w:kern w:val="0"/>
                <w:sz w:val="24"/>
              </w:rPr>
            </w:pPr>
            <w:r>
              <w:rPr>
                <w:rFonts w:hint="eastAsia" w:ascii="宋体" w:hAnsi="宋体"/>
                <w:kern w:val="0"/>
                <w:sz w:val="24"/>
              </w:rPr>
              <w:t>否</w:t>
            </w:r>
          </w:p>
        </w:tc>
      </w:tr>
      <w:tr w14:paraId="0311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2711AA1A">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6BB77CC9">
            <w:pPr>
              <w:widowControl/>
              <w:jc w:val="center"/>
              <w:rPr>
                <w:rFonts w:ascii="宋体" w:hAnsi="宋体"/>
                <w:kern w:val="0"/>
                <w:sz w:val="24"/>
              </w:rPr>
            </w:pPr>
            <w:r>
              <w:rPr>
                <w:rFonts w:hint="eastAsia" w:ascii="宋体" w:hAnsi="宋体"/>
                <w:sz w:val="24"/>
              </w:rPr>
              <w:t>安全生产标准化管理目标等级</w:t>
            </w:r>
          </w:p>
        </w:tc>
        <w:tc>
          <w:tcPr>
            <w:tcW w:w="4712" w:type="dxa"/>
            <w:shd w:val="clear" w:color="000000" w:fill="FFFFFF"/>
            <w:vAlign w:val="center"/>
          </w:tcPr>
          <w:p w14:paraId="793B26F3">
            <w:pPr>
              <w:widowControl/>
              <w:rPr>
                <w:rFonts w:ascii="宋体" w:hAnsi="宋体"/>
                <w:kern w:val="0"/>
                <w:sz w:val="24"/>
              </w:rPr>
            </w:pPr>
            <w:r>
              <w:rPr>
                <w:rFonts w:hint="eastAsia" w:ascii="宋体" w:hAnsi="宋体"/>
                <w:kern w:val="0"/>
                <w:sz w:val="24"/>
              </w:rPr>
              <w:t>响应</w:t>
            </w:r>
            <w:r>
              <w:rPr>
                <w:rFonts w:ascii="宋体" w:hAnsi="宋体"/>
                <w:kern w:val="0"/>
                <w:sz w:val="24"/>
              </w:rPr>
              <w:t>文件中承诺的</w:t>
            </w:r>
            <w:r>
              <w:rPr>
                <w:rFonts w:hint="eastAsia" w:ascii="宋体" w:hAnsi="宋体"/>
                <w:kern w:val="0"/>
                <w:sz w:val="24"/>
              </w:rPr>
              <w:t>安全生产标准化管理目标等级满足采购</w:t>
            </w:r>
            <w:r>
              <w:rPr>
                <w:rFonts w:ascii="宋体" w:hAnsi="宋体"/>
                <w:kern w:val="0"/>
                <w:sz w:val="24"/>
              </w:rPr>
              <w:t>文件中载明的</w:t>
            </w:r>
            <w:r>
              <w:rPr>
                <w:rFonts w:hint="eastAsia" w:ascii="宋体" w:hAnsi="宋体"/>
                <w:kern w:val="0"/>
                <w:sz w:val="24"/>
              </w:rPr>
              <w:t>目标等级</w:t>
            </w:r>
            <w:r>
              <w:rPr>
                <w:rFonts w:ascii="宋体" w:hAnsi="宋体"/>
                <w:kern w:val="0"/>
                <w:sz w:val="24"/>
              </w:rPr>
              <w:t>的</w:t>
            </w:r>
            <w:r>
              <w:rPr>
                <w:rFonts w:hint="eastAsia" w:ascii="宋体" w:hAnsi="宋体"/>
                <w:kern w:val="0"/>
                <w:sz w:val="24"/>
              </w:rPr>
              <w:t>；</w:t>
            </w:r>
          </w:p>
        </w:tc>
        <w:tc>
          <w:tcPr>
            <w:tcW w:w="1395" w:type="dxa"/>
            <w:shd w:val="clear" w:color="000000" w:fill="FFFFFF"/>
            <w:vAlign w:val="center"/>
          </w:tcPr>
          <w:p w14:paraId="6D5222E6">
            <w:pPr>
              <w:widowControl/>
              <w:spacing w:line="360" w:lineRule="auto"/>
              <w:jc w:val="center"/>
              <w:rPr>
                <w:rFonts w:ascii="宋体" w:hAnsi="宋体"/>
                <w:kern w:val="0"/>
                <w:sz w:val="24"/>
              </w:rPr>
            </w:pPr>
            <w:r>
              <w:rPr>
                <w:rFonts w:hint="eastAsia" w:ascii="宋体" w:hAnsi="宋体"/>
                <w:kern w:val="0"/>
                <w:sz w:val="24"/>
              </w:rPr>
              <w:t>否</w:t>
            </w:r>
          </w:p>
        </w:tc>
      </w:tr>
      <w:tr w14:paraId="18C5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5AA673E2">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3EB87D5F">
            <w:pPr>
              <w:widowControl/>
              <w:jc w:val="center"/>
              <w:rPr>
                <w:rFonts w:ascii="宋体" w:hAnsi="宋体"/>
                <w:kern w:val="0"/>
                <w:sz w:val="24"/>
              </w:rPr>
            </w:pPr>
            <w:r>
              <w:rPr>
                <w:rFonts w:ascii="宋体" w:hAnsi="宋体"/>
                <w:kern w:val="0"/>
                <w:sz w:val="24"/>
              </w:rPr>
              <w:t>签署、盖章</w:t>
            </w:r>
          </w:p>
        </w:tc>
        <w:tc>
          <w:tcPr>
            <w:tcW w:w="4712" w:type="dxa"/>
            <w:shd w:val="clear" w:color="000000" w:fill="FFFFFF"/>
            <w:vAlign w:val="center"/>
          </w:tcPr>
          <w:p w14:paraId="46AE6EF1">
            <w:pPr>
              <w:widowControl/>
              <w:rPr>
                <w:rFonts w:ascii="宋体" w:hAnsi="宋体"/>
                <w:kern w:val="0"/>
                <w:sz w:val="24"/>
              </w:rPr>
            </w:pPr>
            <w:r>
              <w:rPr>
                <w:rFonts w:ascii="宋体" w:hAnsi="宋体"/>
                <w:kern w:val="0"/>
                <w:sz w:val="24"/>
              </w:rPr>
              <w:t>按照</w:t>
            </w:r>
            <w:r>
              <w:rPr>
                <w:rFonts w:hint="eastAsia" w:ascii="宋体" w:hAnsi="宋体"/>
                <w:kern w:val="0"/>
                <w:sz w:val="24"/>
              </w:rPr>
              <w:t>采购</w:t>
            </w:r>
            <w:r>
              <w:rPr>
                <w:rFonts w:ascii="宋体" w:hAnsi="宋体"/>
                <w:kern w:val="0"/>
                <w:sz w:val="24"/>
              </w:rPr>
              <w:t>文件要求签署、盖章的；</w:t>
            </w:r>
          </w:p>
        </w:tc>
        <w:tc>
          <w:tcPr>
            <w:tcW w:w="1395" w:type="dxa"/>
            <w:shd w:val="clear" w:color="000000" w:fill="FFFFFF"/>
            <w:vAlign w:val="center"/>
          </w:tcPr>
          <w:p w14:paraId="2CE2EDB1">
            <w:pPr>
              <w:widowControl/>
              <w:spacing w:line="360" w:lineRule="auto"/>
              <w:jc w:val="center"/>
              <w:rPr>
                <w:rFonts w:ascii="宋体" w:hAnsi="宋体"/>
                <w:kern w:val="0"/>
                <w:sz w:val="24"/>
              </w:rPr>
            </w:pPr>
            <w:r>
              <w:rPr>
                <w:rFonts w:hint="eastAsia" w:ascii="宋体" w:hAnsi="宋体" w:cs="宋体"/>
                <w:kern w:val="0"/>
                <w:sz w:val="24"/>
              </w:rPr>
              <w:t>否</w:t>
            </w:r>
          </w:p>
        </w:tc>
      </w:tr>
      <w:tr w14:paraId="6024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67F96BF3">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66AF3F5D">
            <w:pPr>
              <w:widowControl/>
              <w:jc w:val="center"/>
              <w:rPr>
                <w:rFonts w:ascii="宋体" w:hAnsi="宋体"/>
                <w:kern w:val="0"/>
                <w:sz w:val="24"/>
              </w:rPr>
            </w:pPr>
            <w:r>
              <w:rPr>
                <w:rFonts w:hint="eastAsia" w:ascii="宋体" w:hAnsi="宋体"/>
                <w:kern w:val="0"/>
                <w:sz w:val="24"/>
              </w:rPr>
              <w:t>实质性格式</w:t>
            </w:r>
          </w:p>
        </w:tc>
        <w:tc>
          <w:tcPr>
            <w:tcW w:w="4712" w:type="dxa"/>
            <w:shd w:val="clear" w:color="000000" w:fill="FFFFFF"/>
            <w:vAlign w:val="center"/>
          </w:tcPr>
          <w:p w14:paraId="6C1EB6D0">
            <w:pPr>
              <w:widowControl/>
              <w:rPr>
                <w:rFonts w:ascii="宋体" w:hAnsi="宋体"/>
                <w:kern w:val="0"/>
                <w:sz w:val="24"/>
              </w:rPr>
            </w:pPr>
            <w:r>
              <w:rPr>
                <w:rFonts w:hint="eastAsia" w:ascii="宋体" w:hAnsi="宋体"/>
                <w:kern w:val="0"/>
                <w:sz w:val="24"/>
              </w:rPr>
              <w:t>标记为</w:t>
            </w:r>
            <w:r>
              <w:rPr>
                <w:rFonts w:ascii="宋体" w:hAnsi="宋体"/>
                <w:kern w:val="0"/>
                <w:sz w:val="24"/>
              </w:rPr>
              <w:t>“实质性格式”的</w:t>
            </w:r>
            <w:r>
              <w:rPr>
                <w:rFonts w:hint="eastAsia" w:ascii="宋体" w:hAnsi="宋体"/>
                <w:kern w:val="0"/>
                <w:sz w:val="24"/>
              </w:rPr>
              <w:t>文件均按采购</w:t>
            </w:r>
            <w:r>
              <w:rPr>
                <w:rFonts w:ascii="宋体" w:hAnsi="宋体"/>
                <w:kern w:val="0"/>
                <w:sz w:val="24"/>
              </w:rPr>
              <w:t>文件</w:t>
            </w:r>
            <w:r>
              <w:rPr>
                <w:rFonts w:hint="eastAsia" w:ascii="宋体" w:hAnsi="宋体"/>
                <w:kern w:val="0"/>
                <w:sz w:val="24"/>
              </w:rPr>
              <w:t>要求提供；</w:t>
            </w:r>
          </w:p>
        </w:tc>
        <w:tc>
          <w:tcPr>
            <w:tcW w:w="1395" w:type="dxa"/>
            <w:shd w:val="clear" w:color="000000" w:fill="FFFFFF"/>
            <w:vAlign w:val="center"/>
          </w:tcPr>
          <w:p w14:paraId="71583635">
            <w:pPr>
              <w:widowControl/>
              <w:spacing w:line="360" w:lineRule="auto"/>
              <w:jc w:val="center"/>
              <w:rPr>
                <w:rFonts w:ascii="宋体" w:hAnsi="宋体"/>
                <w:kern w:val="0"/>
                <w:sz w:val="24"/>
              </w:rPr>
            </w:pPr>
            <w:r>
              <w:rPr>
                <w:rFonts w:hint="eastAsia" w:ascii="宋体" w:hAnsi="宋体"/>
                <w:kern w:val="0"/>
                <w:sz w:val="24"/>
              </w:rPr>
              <w:t>否</w:t>
            </w:r>
          </w:p>
        </w:tc>
      </w:tr>
      <w:tr w14:paraId="7407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7213F61D">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02D5BB2A">
            <w:pPr>
              <w:widowControl/>
              <w:jc w:val="center"/>
              <w:rPr>
                <w:rFonts w:ascii="宋体" w:hAnsi="宋体"/>
                <w:kern w:val="0"/>
                <w:sz w:val="24"/>
              </w:rPr>
            </w:pPr>
            <w:r>
              <w:rPr>
                <w:rFonts w:ascii="宋体" w:hAnsi="宋体"/>
                <w:kern w:val="0"/>
                <w:sz w:val="24"/>
              </w:rPr>
              <w:t>报价的修正（如有）</w:t>
            </w:r>
          </w:p>
        </w:tc>
        <w:tc>
          <w:tcPr>
            <w:tcW w:w="4712" w:type="dxa"/>
            <w:shd w:val="clear" w:color="000000" w:fill="FFFFFF"/>
            <w:vAlign w:val="center"/>
          </w:tcPr>
          <w:p w14:paraId="5C79DADA">
            <w:pPr>
              <w:widowControl/>
              <w:rPr>
                <w:rFonts w:ascii="宋体" w:hAnsi="宋体"/>
                <w:kern w:val="0"/>
                <w:sz w:val="24"/>
              </w:rPr>
            </w:pPr>
            <w:r>
              <w:rPr>
                <w:rFonts w:hint="eastAsia" w:ascii="宋体" w:hAnsi="宋体"/>
                <w:kern w:val="0"/>
                <w:sz w:val="24"/>
              </w:rPr>
              <w:t>不涉及报价修正</w:t>
            </w:r>
            <w:r>
              <w:rPr>
                <w:rFonts w:ascii="宋体" w:hAnsi="宋体"/>
                <w:kern w:val="0"/>
                <w:sz w:val="24"/>
              </w:rPr>
              <w:t>，或</w:t>
            </w:r>
            <w:r>
              <w:rPr>
                <w:rFonts w:hint="eastAsia" w:ascii="宋体" w:hAnsi="宋体"/>
                <w:kern w:val="0"/>
                <w:sz w:val="24"/>
              </w:rPr>
              <w:t>响应</w:t>
            </w:r>
            <w:r>
              <w:rPr>
                <w:rFonts w:ascii="宋体" w:hAnsi="宋体"/>
                <w:kern w:val="0"/>
                <w:sz w:val="24"/>
              </w:rPr>
              <w:t>文件报价出现前后不一致</w:t>
            </w:r>
            <w:r>
              <w:rPr>
                <w:rFonts w:hint="eastAsia" w:ascii="宋体" w:hAnsi="宋体"/>
                <w:kern w:val="0"/>
                <w:sz w:val="24"/>
              </w:rPr>
              <w:t>时</w:t>
            </w:r>
            <w:r>
              <w:rPr>
                <w:rFonts w:ascii="宋体" w:hAnsi="宋体"/>
                <w:kern w:val="0"/>
                <w:sz w:val="24"/>
              </w:rPr>
              <w:t>，供应商对修正后的报价予</w:t>
            </w:r>
            <w:r>
              <w:rPr>
                <w:rFonts w:hint="eastAsia" w:ascii="宋体" w:hAnsi="宋体"/>
                <w:kern w:val="0"/>
                <w:sz w:val="24"/>
              </w:rPr>
              <w:t>以</w:t>
            </w:r>
            <w:r>
              <w:rPr>
                <w:rFonts w:ascii="宋体" w:hAnsi="宋体"/>
                <w:kern w:val="0"/>
                <w:sz w:val="24"/>
              </w:rPr>
              <w:t>确认；（如有）</w:t>
            </w:r>
          </w:p>
        </w:tc>
        <w:tc>
          <w:tcPr>
            <w:tcW w:w="1395" w:type="dxa"/>
            <w:shd w:val="clear" w:color="000000" w:fill="FFFFFF"/>
            <w:vAlign w:val="center"/>
          </w:tcPr>
          <w:p w14:paraId="49CDB790">
            <w:pPr>
              <w:widowControl/>
              <w:spacing w:line="360" w:lineRule="auto"/>
              <w:jc w:val="center"/>
              <w:rPr>
                <w:rFonts w:ascii="宋体" w:hAnsi="宋体"/>
                <w:kern w:val="0"/>
                <w:sz w:val="24"/>
              </w:rPr>
            </w:pPr>
            <w:r>
              <w:rPr>
                <w:rFonts w:hint="eastAsia" w:ascii="宋体" w:hAnsi="宋体"/>
                <w:kern w:val="0"/>
                <w:sz w:val="24"/>
              </w:rPr>
              <w:t>是</w:t>
            </w:r>
          </w:p>
        </w:tc>
      </w:tr>
      <w:tr w14:paraId="6B14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6C914578">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1C2304B5">
            <w:pPr>
              <w:widowControl/>
              <w:jc w:val="center"/>
              <w:rPr>
                <w:rFonts w:ascii="宋体" w:hAnsi="宋体"/>
                <w:kern w:val="0"/>
                <w:sz w:val="24"/>
              </w:rPr>
            </w:pPr>
            <w:r>
              <w:rPr>
                <w:rFonts w:ascii="宋体" w:hAnsi="宋体"/>
                <w:kern w:val="0"/>
                <w:sz w:val="24"/>
              </w:rPr>
              <w:t>报价合理性</w:t>
            </w:r>
          </w:p>
        </w:tc>
        <w:tc>
          <w:tcPr>
            <w:tcW w:w="4712" w:type="dxa"/>
            <w:shd w:val="clear" w:color="000000" w:fill="FFFFFF"/>
            <w:vAlign w:val="center"/>
          </w:tcPr>
          <w:p w14:paraId="06784DD4">
            <w:pPr>
              <w:widowControl/>
              <w:rPr>
                <w:rFonts w:ascii="宋体" w:hAnsi="宋体"/>
                <w:kern w:val="0"/>
                <w:sz w:val="24"/>
              </w:rPr>
            </w:pPr>
            <w:r>
              <w:rPr>
                <w:rFonts w:ascii="宋体" w:hAnsi="宋体"/>
                <w:kern w:val="0"/>
                <w:sz w:val="24"/>
              </w:rPr>
              <w:t>报价合理，或</w:t>
            </w:r>
            <w:r>
              <w:rPr>
                <w:rFonts w:hint="eastAsia" w:ascii="宋体" w:hAnsi="宋体"/>
                <w:sz w:val="24"/>
              </w:rPr>
              <w:t>供应商的报价明显低于其他通过符合性审查供应商的报价，</w:t>
            </w:r>
            <w:r>
              <w:rPr>
                <w:rFonts w:ascii="宋体" w:hAnsi="宋体"/>
                <w:sz w:val="24"/>
              </w:rPr>
              <w:t>有可能影响产品质量或者不能诚信履约的</w:t>
            </w:r>
            <w:r>
              <w:rPr>
                <w:rFonts w:hint="eastAsia" w:ascii="宋体" w:hAnsi="宋体"/>
                <w:sz w:val="24"/>
              </w:rPr>
              <w:t>，能够应评标委员会要求在规定时间内证明其报价合理性的</w:t>
            </w:r>
            <w:r>
              <w:rPr>
                <w:rFonts w:ascii="宋体" w:hAnsi="宋体"/>
                <w:kern w:val="0"/>
                <w:sz w:val="24"/>
              </w:rPr>
              <w:t>；</w:t>
            </w:r>
          </w:p>
        </w:tc>
        <w:tc>
          <w:tcPr>
            <w:tcW w:w="1395" w:type="dxa"/>
            <w:shd w:val="clear" w:color="000000" w:fill="FFFFFF"/>
            <w:vAlign w:val="center"/>
          </w:tcPr>
          <w:p w14:paraId="504E68B9">
            <w:pPr>
              <w:widowControl/>
              <w:spacing w:line="360" w:lineRule="auto"/>
              <w:jc w:val="center"/>
              <w:rPr>
                <w:rFonts w:ascii="宋体" w:hAnsi="宋体"/>
                <w:kern w:val="0"/>
                <w:sz w:val="24"/>
              </w:rPr>
            </w:pPr>
            <w:r>
              <w:rPr>
                <w:rFonts w:hint="eastAsia" w:ascii="宋体" w:hAnsi="宋体"/>
                <w:kern w:val="0"/>
                <w:sz w:val="24"/>
              </w:rPr>
              <w:t>是</w:t>
            </w:r>
          </w:p>
        </w:tc>
      </w:tr>
      <w:tr w14:paraId="5DAC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0A094999">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21593B57">
            <w:pPr>
              <w:widowControl/>
              <w:jc w:val="center"/>
              <w:rPr>
                <w:rFonts w:ascii="宋体" w:hAnsi="宋体"/>
                <w:kern w:val="0"/>
                <w:sz w:val="24"/>
              </w:rPr>
            </w:pPr>
            <w:r>
              <w:rPr>
                <w:rFonts w:ascii="宋体" w:hAnsi="宋体"/>
                <w:kern w:val="0"/>
                <w:sz w:val="24"/>
              </w:rPr>
              <w:t>公平竞争</w:t>
            </w:r>
          </w:p>
        </w:tc>
        <w:tc>
          <w:tcPr>
            <w:tcW w:w="4712" w:type="dxa"/>
            <w:shd w:val="clear" w:color="000000" w:fill="FFFFFF"/>
            <w:vAlign w:val="center"/>
          </w:tcPr>
          <w:p w14:paraId="77463A64">
            <w:pPr>
              <w:widowControl/>
              <w:rPr>
                <w:rFonts w:ascii="宋体" w:hAnsi="宋体"/>
                <w:kern w:val="0"/>
                <w:sz w:val="24"/>
              </w:rPr>
            </w:pPr>
            <w:r>
              <w:rPr>
                <w:rFonts w:ascii="宋体" w:hAnsi="宋体"/>
                <w:sz w:val="24"/>
              </w:rPr>
              <w:t>供应商遵循公平竞争的原则，不存在恶意串通，妨碍其他供应商的竞争行为，不存在损害采购人或者其他供应商的合法权益情形的；</w:t>
            </w:r>
          </w:p>
        </w:tc>
        <w:tc>
          <w:tcPr>
            <w:tcW w:w="1395" w:type="dxa"/>
            <w:shd w:val="clear" w:color="000000" w:fill="FFFFFF"/>
            <w:vAlign w:val="center"/>
          </w:tcPr>
          <w:p w14:paraId="5C3AFA99">
            <w:pPr>
              <w:widowControl/>
              <w:spacing w:line="360" w:lineRule="auto"/>
              <w:jc w:val="center"/>
              <w:rPr>
                <w:rFonts w:ascii="宋体" w:hAnsi="宋体"/>
                <w:sz w:val="24"/>
              </w:rPr>
            </w:pPr>
            <w:r>
              <w:rPr>
                <w:rFonts w:hint="eastAsia" w:ascii="宋体" w:hAnsi="宋体"/>
                <w:kern w:val="0"/>
                <w:sz w:val="24"/>
              </w:rPr>
              <w:t>否</w:t>
            </w:r>
          </w:p>
        </w:tc>
      </w:tr>
      <w:tr w14:paraId="6F2F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443E369C">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21C1D837">
            <w:pPr>
              <w:widowControl/>
              <w:spacing w:line="360" w:lineRule="auto"/>
              <w:jc w:val="center"/>
              <w:rPr>
                <w:rFonts w:ascii="宋体" w:hAnsi="宋体"/>
                <w:kern w:val="0"/>
                <w:sz w:val="24"/>
              </w:rPr>
            </w:pPr>
            <w:r>
              <w:rPr>
                <w:rFonts w:hint="eastAsia" w:ascii="宋体" w:hAnsi="宋体" w:cs="宋体"/>
                <w:kern w:val="0"/>
                <w:sz w:val="24"/>
              </w:rPr>
              <w:t>串通投标</w:t>
            </w:r>
          </w:p>
        </w:tc>
        <w:tc>
          <w:tcPr>
            <w:tcW w:w="4712" w:type="dxa"/>
            <w:shd w:val="clear" w:color="000000" w:fill="FFFFFF"/>
            <w:vAlign w:val="center"/>
          </w:tcPr>
          <w:p w14:paraId="24906BC8">
            <w:pPr>
              <w:widowControl/>
              <w:spacing w:line="360" w:lineRule="auto"/>
              <w:rPr>
                <w:rFonts w:ascii="宋体" w:hAnsi="宋体"/>
              </w:rPr>
            </w:pPr>
            <w:r>
              <w:rPr>
                <w:rFonts w:hint="eastAsia" w:ascii="宋体" w:hAnsi="宋体" w:cs="宋体"/>
                <w:kern w:val="0"/>
                <w:sz w:val="24"/>
              </w:rPr>
              <w:t xml:space="preserve">不存在以下的情形： </w:t>
            </w:r>
          </w:p>
          <w:p w14:paraId="2341227B">
            <w:pPr>
              <w:widowControl/>
              <w:spacing w:line="360" w:lineRule="auto"/>
              <w:rPr>
                <w:rFonts w:ascii="宋体" w:hAnsi="宋体" w:cs="宋体"/>
                <w:kern w:val="0"/>
                <w:sz w:val="24"/>
              </w:rPr>
            </w:pPr>
            <w:r>
              <w:rPr>
                <w:rFonts w:hint="eastAsia" w:ascii="宋体" w:hAnsi="宋体" w:cs="宋体"/>
                <w:kern w:val="0"/>
                <w:sz w:val="24"/>
              </w:rPr>
              <w:t>（一）不同供应商的响应文件由同一单位或者个人编制；</w:t>
            </w:r>
          </w:p>
          <w:p w14:paraId="53839B2A">
            <w:pPr>
              <w:widowControl/>
              <w:spacing w:line="360" w:lineRule="auto"/>
              <w:rPr>
                <w:rFonts w:ascii="宋体" w:hAnsi="宋体"/>
              </w:rPr>
            </w:pPr>
            <w:r>
              <w:rPr>
                <w:rFonts w:hint="eastAsia" w:ascii="宋体" w:hAnsi="宋体" w:cs="宋体"/>
                <w:kern w:val="0"/>
                <w:sz w:val="24"/>
              </w:rPr>
              <w:t xml:space="preserve">（二）不同供应商委托同一单位或者个人办理磋商事宜； </w:t>
            </w:r>
          </w:p>
          <w:p w14:paraId="7AE48D58">
            <w:pPr>
              <w:widowControl/>
              <w:spacing w:line="360" w:lineRule="auto"/>
              <w:rPr>
                <w:rFonts w:ascii="宋体" w:hAnsi="宋体"/>
              </w:rPr>
            </w:pPr>
            <w:r>
              <w:rPr>
                <w:rFonts w:hint="eastAsia" w:ascii="宋体" w:hAnsi="宋体" w:cs="宋体"/>
                <w:kern w:val="0"/>
                <w:sz w:val="24"/>
              </w:rPr>
              <w:t xml:space="preserve">（三）不同供应商的响应文件载明的项目管理成员或者联系人员为同一人； </w:t>
            </w:r>
          </w:p>
          <w:p w14:paraId="3A97356F">
            <w:pPr>
              <w:widowControl/>
              <w:spacing w:line="360" w:lineRule="auto"/>
              <w:rPr>
                <w:rFonts w:ascii="宋体" w:hAnsi="宋体" w:cs="宋体"/>
                <w:kern w:val="0"/>
                <w:sz w:val="24"/>
              </w:rPr>
            </w:pPr>
            <w:r>
              <w:rPr>
                <w:rFonts w:hint="eastAsia" w:ascii="宋体" w:hAnsi="宋体" w:cs="宋体"/>
                <w:kern w:val="0"/>
                <w:sz w:val="24"/>
              </w:rPr>
              <w:t>（四）不同供应商的响应文件异常一致或者响应报价呈规律 性差异；</w:t>
            </w:r>
          </w:p>
          <w:p w14:paraId="2D0F692C">
            <w:pPr>
              <w:widowControl/>
              <w:spacing w:line="360" w:lineRule="auto"/>
              <w:rPr>
                <w:rFonts w:ascii="宋体" w:hAnsi="宋体" w:cs="宋体"/>
                <w:kern w:val="0"/>
                <w:sz w:val="24"/>
              </w:rPr>
            </w:pPr>
            <w:r>
              <w:rPr>
                <w:rFonts w:hint="eastAsia" w:ascii="宋体" w:hAnsi="宋体" w:cs="宋体"/>
                <w:kern w:val="0"/>
                <w:sz w:val="24"/>
              </w:rPr>
              <w:t>（五）不同供应商的响应文件相互混装；</w:t>
            </w:r>
          </w:p>
          <w:p w14:paraId="43428EBB">
            <w:pPr>
              <w:widowControl/>
              <w:spacing w:line="360" w:lineRule="auto"/>
              <w:rPr>
                <w:rFonts w:ascii="宋体" w:hAnsi="宋体"/>
                <w:sz w:val="24"/>
              </w:rPr>
            </w:pPr>
            <w:r>
              <w:rPr>
                <w:rFonts w:hint="eastAsia" w:ascii="宋体" w:hAnsi="宋体" w:cs="宋体"/>
                <w:kern w:val="0"/>
                <w:sz w:val="24"/>
              </w:rPr>
              <w:t xml:space="preserve">（六）不同供应商的磋商保证金从同一单位或者个人的账户转出； </w:t>
            </w:r>
          </w:p>
        </w:tc>
        <w:tc>
          <w:tcPr>
            <w:tcW w:w="1395" w:type="dxa"/>
            <w:shd w:val="clear" w:color="000000" w:fill="FFFFFF"/>
            <w:vAlign w:val="center"/>
          </w:tcPr>
          <w:p w14:paraId="6B6A7C4A">
            <w:pPr>
              <w:widowControl/>
              <w:spacing w:line="360" w:lineRule="auto"/>
              <w:jc w:val="center"/>
              <w:rPr>
                <w:rFonts w:ascii="宋体" w:hAnsi="宋体" w:cs="宋体"/>
                <w:kern w:val="0"/>
                <w:sz w:val="24"/>
              </w:rPr>
            </w:pPr>
            <w:r>
              <w:rPr>
                <w:rFonts w:hint="eastAsia" w:ascii="宋体" w:hAnsi="宋体"/>
                <w:kern w:val="0"/>
                <w:sz w:val="24"/>
              </w:rPr>
              <w:t>否</w:t>
            </w:r>
          </w:p>
        </w:tc>
      </w:tr>
      <w:tr w14:paraId="6D08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7C062FE5">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14685A0E">
            <w:pPr>
              <w:widowControl/>
              <w:jc w:val="center"/>
              <w:rPr>
                <w:rFonts w:ascii="宋体" w:hAnsi="宋体"/>
                <w:kern w:val="0"/>
                <w:sz w:val="24"/>
              </w:rPr>
            </w:pPr>
            <w:r>
              <w:rPr>
                <w:rFonts w:ascii="宋体" w:hAnsi="宋体"/>
                <w:kern w:val="0"/>
                <w:sz w:val="24"/>
              </w:rPr>
              <w:t>附加条件</w:t>
            </w:r>
          </w:p>
        </w:tc>
        <w:tc>
          <w:tcPr>
            <w:tcW w:w="4712" w:type="dxa"/>
            <w:shd w:val="clear" w:color="000000" w:fill="FFFFFF"/>
            <w:vAlign w:val="center"/>
          </w:tcPr>
          <w:p w14:paraId="02539A4A">
            <w:pPr>
              <w:widowControl/>
              <w:rPr>
                <w:rFonts w:ascii="宋体" w:hAnsi="宋体"/>
                <w:kern w:val="0"/>
                <w:sz w:val="24"/>
              </w:rPr>
            </w:pPr>
            <w:r>
              <w:rPr>
                <w:rFonts w:hint="eastAsia" w:ascii="宋体" w:hAnsi="宋体"/>
                <w:kern w:val="0"/>
                <w:sz w:val="24"/>
              </w:rPr>
              <w:t>响应</w:t>
            </w:r>
            <w:r>
              <w:rPr>
                <w:rFonts w:ascii="宋体" w:hAnsi="宋体"/>
                <w:kern w:val="0"/>
                <w:sz w:val="24"/>
              </w:rPr>
              <w:t>文件</w:t>
            </w:r>
            <w:r>
              <w:rPr>
                <w:rFonts w:hint="eastAsia" w:ascii="宋体" w:hAnsi="宋体"/>
                <w:kern w:val="0"/>
                <w:sz w:val="24"/>
              </w:rPr>
              <w:t>未</w:t>
            </w:r>
            <w:r>
              <w:rPr>
                <w:rFonts w:ascii="宋体" w:hAnsi="宋体"/>
                <w:kern w:val="0"/>
                <w:sz w:val="24"/>
              </w:rPr>
              <w:t>含有采购人不能接受的附加条件的；</w:t>
            </w:r>
          </w:p>
        </w:tc>
        <w:tc>
          <w:tcPr>
            <w:tcW w:w="1395" w:type="dxa"/>
            <w:shd w:val="clear" w:color="000000" w:fill="FFFFFF"/>
            <w:vAlign w:val="center"/>
          </w:tcPr>
          <w:p w14:paraId="5C52BC22">
            <w:pPr>
              <w:widowControl/>
              <w:spacing w:line="360" w:lineRule="auto"/>
              <w:jc w:val="center"/>
              <w:rPr>
                <w:rFonts w:ascii="宋体" w:hAnsi="宋体"/>
                <w:kern w:val="0"/>
                <w:sz w:val="24"/>
              </w:rPr>
            </w:pPr>
            <w:r>
              <w:rPr>
                <w:rFonts w:hint="eastAsia" w:ascii="宋体" w:hAnsi="宋体"/>
                <w:kern w:val="0"/>
                <w:sz w:val="24"/>
              </w:rPr>
              <w:t>否</w:t>
            </w:r>
          </w:p>
        </w:tc>
      </w:tr>
      <w:tr w14:paraId="07F4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3" w:type="dxa"/>
            <w:shd w:val="clear" w:color="000000" w:fill="FFFFFF"/>
            <w:vAlign w:val="center"/>
          </w:tcPr>
          <w:p w14:paraId="71AB3670">
            <w:pPr>
              <w:pStyle w:val="272"/>
              <w:widowControl/>
              <w:numPr>
                <w:ilvl w:val="0"/>
                <w:numId w:val="18"/>
              </w:numPr>
              <w:ind w:firstLineChars="0"/>
              <w:jc w:val="center"/>
              <w:rPr>
                <w:rFonts w:ascii="宋体" w:hAnsi="宋体"/>
                <w:kern w:val="0"/>
                <w:sz w:val="24"/>
              </w:rPr>
            </w:pPr>
          </w:p>
        </w:tc>
        <w:tc>
          <w:tcPr>
            <w:tcW w:w="2190" w:type="dxa"/>
            <w:shd w:val="clear" w:color="000000" w:fill="FFFFFF"/>
            <w:vAlign w:val="center"/>
          </w:tcPr>
          <w:p w14:paraId="50545129">
            <w:pPr>
              <w:widowControl/>
              <w:jc w:val="center"/>
              <w:rPr>
                <w:rFonts w:ascii="宋体" w:hAnsi="宋体"/>
                <w:kern w:val="0"/>
                <w:sz w:val="24"/>
              </w:rPr>
            </w:pPr>
            <w:r>
              <w:rPr>
                <w:rFonts w:ascii="宋体" w:hAnsi="宋体"/>
                <w:kern w:val="0"/>
                <w:sz w:val="24"/>
              </w:rPr>
              <w:t>其他无效情形</w:t>
            </w:r>
          </w:p>
        </w:tc>
        <w:tc>
          <w:tcPr>
            <w:tcW w:w="4712" w:type="dxa"/>
            <w:shd w:val="clear" w:color="000000" w:fill="FFFFFF"/>
            <w:vAlign w:val="center"/>
          </w:tcPr>
          <w:p w14:paraId="4DBA7014">
            <w:pPr>
              <w:widowControl/>
              <w:rPr>
                <w:rFonts w:ascii="宋体" w:hAnsi="宋体"/>
                <w:kern w:val="0"/>
                <w:sz w:val="24"/>
              </w:rPr>
            </w:pPr>
            <w:r>
              <w:rPr>
                <w:rFonts w:ascii="宋体" w:hAnsi="宋体"/>
                <w:sz w:val="24"/>
              </w:rPr>
              <w:t>供应商、</w:t>
            </w:r>
            <w:r>
              <w:rPr>
                <w:rFonts w:hint="eastAsia" w:ascii="宋体" w:hAnsi="宋体"/>
                <w:kern w:val="0"/>
                <w:sz w:val="24"/>
              </w:rPr>
              <w:t>响应</w:t>
            </w:r>
            <w:r>
              <w:rPr>
                <w:rFonts w:ascii="宋体" w:hAnsi="宋体"/>
                <w:sz w:val="24"/>
              </w:rPr>
              <w:t>文件</w:t>
            </w:r>
            <w:r>
              <w:rPr>
                <w:rFonts w:hint="eastAsia" w:ascii="宋体" w:hAnsi="宋体"/>
                <w:sz w:val="24"/>
              </w:rPr>
              <w:t>不存在</w:t>
            </w:r>
            <w:r>
              <w:rPr>
                <w:rFonts w:ascii="宋体" w:hAnsi="宋体"/>
                <w:sz w:val="24"/>
              </w:rPr>
              <w:t>不符合法律、法规和</w:t>
            </w:r>
            <w:r>
              <w:rPr>
                <w:rFonts w:hint="eastAsia" w:ascii="宋体" w:hAnsi="宋体"/>
                <w:sz w:val="24"/>
              </w:rPr>
              <w:t>磋商</w:t>
            </w:r>
            <w:r>
              <w:rPr>
                <w:rFonts w:ascii="宋体" w:hAnsi="宋体"/>
                <w:sz w:val="24"/>
              </w:rPr>
              <w:t>文件规定的其他无效情形。</w:t>
            </w:r>
          </w:p>
        </w:tc>
        <w:tc>
          <w:tcPr>
            <w:tcW w:w="1395" w:type="dxa"/>
            <w:shd w:val="clear" w:color="000000" w:fill="FFFFFF"/>
            <w:vAlign w:val="center"/>
          </w:tcPr>
          <w:p w14:paraId="046A9579">
            <w:pPr>
              <w:widowControl/>
              <w:spacing w:line="360" w:lineRule="auto"/>
              <w:jc w:val="center"/>
              <w:rPr>
                <w:rFonts w:ascii="宋体" w:hAnsi="宋体"/>
                <w:sz w:val="24"/>
              </w:rPr>
            </w:pPr>
            <w:r>
              <w:rPr>
                <w:rFonts w:hint="eastAsia" w:ascii="宋体" w:hAnsi="宋体"/>
                <w:kern w:val="0"/>
                <w:sz w:val="24"/>
              </w:rPr>
              <w:t>否</w:t>
            </w:r>
          </w:p>
        </w:tc>
      </w:tr>
    </w:tbl>
    <w:p w14:paraId="5A3A6208">
      <w:pPr>
        <w:tabs>
          <w:tab w:val="left" w:pos="900"/>
          <w:tab w:val="left" w:pos="1080"/>
          <w:tab w:val="left" w:pos="1589"/>
        </w:tabs>
        <w:snapToGrid w:val="0"/>
        <w:spacing w:line="360" w:lineRule="auto"/>
        <w:rPr>
          <w:rFonts w:ascii="宋体" w:hAnsi="宋体"/>
          <w:sz w:val="24"/>
        </w:rPr>
      </w:pPr>
    </w:p>
    <w:p w14:paraId="0CCFB296">
      <w:pPr>
        <w:numPr>
          <w:ilvl w:val="0"/>
          <w:numId w:val="17"/>
        </w:numPr>
        <w:tabs>
          <w:tab w:val="left" w:pos="360"/>
        </w:tabs>
        <w:snapToGrid w:val="0"/>
        <w:spacing w:line="360" w:lineRule="auto"/>
        <w:outlineLvl w:val="1"/>
        <w:rPr>
          <w:rFonts w:ascii="宋体" w:hAnsi="宋体"/>
          <w:sz w:val="24"/>
        </w:rPr>
      </w:pPr>
      <w:r>
        <w:rPr>
          <w:rFonts w:ascii="宋体" w:hAnsi="宋体"/>
          <w:sz w:val="24"/>
        </w:rPr>
        <w:t>磋商、响应文件有关事项的澄清、说明或者更正和最后报价</w:t>
      </w:r>
    </w:p>
    <w:p w14:paraId="1702EAA1">
      <w:pPr>
        <w:numPr>
          <w:ilvl w:val="1"/>
          <w:numId w:val="17"/>
        </w:numPr>
        <w:tabs>
          <w:tab w:val="left" w:pos="1080"/>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14:paraId="65EFD690">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D07355E">
      <w:pPr>
        <w:numPr>
          <w:ilvl w:val="1"/>
          <w:numId w:val="17"/>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589735EE">
      <w:pPr>
        <w:numPr>
          <w:ilvl w:val="1"/>
          <w:numId w:val="17"/>
        </w:numPr>
        <w:tabs>
          <w:tab w:val="left" w:pos="1080"/>
          <w:tab w:val="left" w:pos="1872"/>
        </w:tabs>
        <w:snapToGrid w:val="0"/>
        <w:spacing w:line="360" w:lineRule="auto"/>
        <w:ind w:left="1077" w:hanging="720"/>
        <w:rPr>
          <w:rFonts w:ascii="宋体" w:hAnsi="宋体"/>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3BFCE30C">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响应文件的澄清、说明或者更正</w:t>
      </w:r>
      <w:r>
        <w:rPr>
          <w:rFonts w:hint="eastAsia" w:ascii="宋体" w:hAnsi="宋体"/>
          <w:sz w:val="24"/>
        </w:rPr>
        <w:t>：</w:t>
      </w:r>
    </w:p>
    <w:p w14:paraId="6F9F194D">
      <w:pPr>
        <w:numPr>
          <w:ilvl w:val="2"/>
          <w:numId w:val="17"/>
        </w:numPr>
        <w:snapToGrid w:val="0"/>
        <w:spacing w:line="360" w:lineRule="auto"/>
        <w:rPr>
          <w:rFonts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459A85ED">
      <w:pPr>
        <w:numPr>
          <w:ilvl w:val="2"/>
          <w:numId w:val="17"/>
        </w:numPr>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54109EC0">
      <w:pPr>
        <w:numPr>
          <w:ilvl w:val="2"/>
          <w:numId w:val="17"/>
        </w:numPr>
        <w:snapToGrid w:val="0"/>
        <w:spacing w:line="360" w:lineRule="auto"/>
        <w:rPr>
          <w:rFonts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CA71ACC">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51BBBEED">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方案或解决方案的，磋商结束后，磋商小组应当按照少数服从多数的原则投票推荐3家以上供应商的，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A987A7E">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14:paraId="369FF8EF">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已提交响应文件的供应商，在提交最后报价之前，可以根据磋商情况退出磋商。</w:t>
      </w:r>
    </w:p>
    <w:p w14:paraId="321DB567">
      <w:pPr>
        <w:numPr>
          <w:ilvl w:val="0"/>
          <w:numId w:val="17"/>
        </w:numPr>
        <w:tabs>
          <w:tab w:val="left" w:pos="360"/>
        </w:tabs>
        <w:snapToGrid w:val="0"/>
        <w:spacing w:line="360" w:lineRule="auto"/>
        <w:outlineLvl w:val="1"/>
        <w:rPr>
          <w:rFonts w:ascii="宋体" w:hAnsi="宋体"/>
          <w:sz w:val="24"/>
        </w:rPr>
      </w:pPr>
      <w:r>
        <w:rPr>
          <w:rFonts w:ascii="宋体" w:hAnsi="宋体"/>
          <w:sz w:val="24"/>
        </w:rPr>
        <w:t>最后报价的算术修正及政策调整</w:t>
      </w:r>
    </w:p>
    <w:p w14:paraId="38C4FC52">
      <w:pPr>
        <w:numPr>
          <w:ilvl w:val="1"/>
          <w:numId w:val="17"/>
        </w:numPr>
        <w:tabs>
          <w:tab w:val="left" w:pos="1080"/>
        </w:tabs>
        <w:snapToGrid w:val="0"/>
        <w:spacing w:line="360" w:lineRule="auto"/>
        <w:ind w:left="1077" w:hanging="720"/>
        <w:rPr>
          <w:rFonts w:ascii="宋体" w:hAnsi="宋体"/>
          <w:sz w:val="24"/>
        </w:rPr>
      </w:pPr>
      <w:r>
        <w:rPr>
          <w:rFonts w:ascii="宋体" w:hAnsi="宋体"/>
          <w:sz w:val="24"/>
        </w:rPr>
        <w:t>最后报价须包含竞争性磋商文件全部内容，如</w:t>
      </w:r>
      <w:r>
        <w:rPr>
          <w:rFonts w:hint="eastAsia" w:ascii="宋体" w:hAnsi="宋体"/>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7810AFB3">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14:paraId="33316508">
      <w:pPr>
        <w:numPr>
          <w:ilvl w:val="2"/>
          <w:numId w:val="17"/>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14:paraId="08FDB941">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w:t>
      </w:r>
    </w:p>
    <w:p w14:paraId="08B8A1D2">
      <w:pPr>
        <w:tabs>
          <w:tab w:val="left" w:pos="1080"/>
          <w:tab w:val="left" w:pos="1589"/>
          <w:tab w:val="left" w:pos="2035"/>
          <w:tab w:val="left" w:pos="2114"/>
        </w:tabs>
        <w:snapToGrid w:val="0"/>
        <w:spacing w:line="360" w:lineRule="auto"/>
        <w:ind w:left="2035"/>
        <w:rPr>
          <w:rFonts w:ascii="宋体" w:hAnsi="宋体"/>
          <w:sz w:val="24"/>
        </w:rPr>
      </w:pPr>
      <w:r>
        <w:rPr>
          <w:rFonts w:ascii="宋体" w:hAnsi="宋体"/>
          <w:b/>
          <w:sz w:val="24"/>
        </w:rPr>
        <w:t>■</w:t>
      </w:r>
      <w:r>
        <w:rPr>
          <w:rFonts w:ascii="宋体" w:hAnsi="宋体"/>
          <w:sz w:val="24"/>
        </w:rPr>
        <w:t>无，按下述3.2.2-3.2.5项规定修正。</w:t>
      </w:r>
    </w:p>
    <w:p w14:paraId="2E24B966">
      <w:pPr>
        <w:numPr>
          <w:ilvl w:val="2"/>
          <w:numId w:val="17"/>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14:paraId="51E95C2A">
      <w:pPr>
        <w:numPr>
          <w:ilvl w:val="2"/>
          <w:numId w:val="17"/>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单价金额小数点或者百分比有明显错位的，以最后报价一览表的总价为准，并修改单价；</w:t>
      </w:r>
    </w:p>
    <w:p w14:paraId="0081967F">
      <w:pPr>
        <w:numPr>
          <w:ilvl w:val="2"/>
          <w:numId w:val="17"/>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14:paraId="06773472">
      <w:pPr>
        <w:numPr>
          <w:ilvl w:val="2"/>
          <w:numId w:val="17"/>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14:paraId="2623B6A2">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4322332F">
      <w:pPr>
        <w:numPr>
          <w:ilvl w:val="2"/>
          <w:numId w:val="17"/>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ascii="宋体" w:hAnsi="宋体"/>
          <w:sz w:val="24"/>
          <w:u w:val="single"/>
        </w:rPr>
        <w:t>3</w:t>
      </w:r>
      <w:r>
        <w:rPr>
          <w:rFonts w:ascii="宋体" w:hAnsi="宋体"/>
          <w:sz w:val="24"/>
        </w:rPr>
        <w:t>%的扣除，用扣除后的价格参加评审。</w:t>
      </w:r>
    </w:p>
    <w:p w14:paraId="121273D2">
      <w:pPr>
        <w:numPr>
          <w:ilvl w:val="2"/>
          <w:numId w:val="17"/>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3</w:t>
      </w:r>
      <w:r>
        <w:rPr>
          <w:rFonts w:ascii="宋体" w:hAnsi="宋体"/>
          <w:sz w:val="24"/>
        </w:rPr>
        <w:t>%的扣除，用扣除后的价格参加评审。</w:t>
      </w:r>
    </w:p>
    <w:p w14:paraId="68F20412">
      <w:pPr>
        <w:numPr>
          <w:ilvl w:val="2"/>
          <w:numId w:val="17"/>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27931D01">
      <w:pPr>
        <w:numPr>
          <w:ilvl w:val="2"/>
          <w:numId w:val="17"/>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51CC6982">
      <w:pPr>
        <w:numPr>
          <w:ilvl w:val="2"/>
          <w:numId w:val="17"/>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中小企业参加政府采购活动，应当按照竞争性磋商文件给定的格式出具《中小企业声明函》，否则不得享受相关中小企业扶持政策。</w:t>
      </w:r>
    </w:p>
    <w:p w14:paraId="29F87845">
      <w:pPr>
        <w:numPr>
          <w:ilvl w:val="2"/>
          <w:numId w:val="17"/>
        </w:numPr>
        <w:tabs>
          <w:tab w:val="left" w:pos="1080"/>
          <w:tab w:val="left" w:pos="1589"/>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3C2AB2F4">
      <w:pPr>
        <w:numPr>
          <w:ilvl w:val="2"/>
          <w:numId w:val="17"/>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残疾人福利性单位按竞争性磋商文件要求提供了《残疾人福利性单位声明函》（见附件）的，视同小微企业。</w:t>
      </w:r>
    </w:p>
    <w:p w14:paraId="4D2003D8">
      <w:pPr>
        <w:numPr>
          <w:ilvl w:val="2"/>
          <w:numId w:val="17"/>
        </w:numPr>
        <w:tabs>
          <w:tab w:val="left" w:pos="1080"/>
          <w:tab w:val="left" w:pos="1589"/>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14:paraId="60406110">
      <w:pPr>
        <w:numPr>
          <w:ilvl w:val="2"/>
          <w:numId w:val="17"/>
        </w:numPr>
        <w:tabs>
          <w:tab w:val="left" w:pos="1080"/>
          <w:tab w:val="left" w:pos="1589"/>
          <w:tab w:val="left" w:pos="2014"/>
        </w:tabs>
        <w:snapToGrid w:val="0"/>
        <w:spacing w:line="360" w:lineRule="auto"/>
        <w:ind w:left="2035"/>
        <w:rPr>
          <w:rFonts w:ascii="宋体" w:hAnsi="宋体"/>
          <w:sz w:val="24"/>
        </w:rPr>
      </w:pPr>
      <w:r>
        <w:rPr>
          <w:rFonts w:ascii="宋体" w:hAnsi="宋体"/>
          <w:sz w:val="24"/>
        </w:rPr>
        <w:t>其他为落实政府采购政策实施的优先采购：</w:t>
      </w:r>
      <w:r>
        <w:rPr>
          <w:rFonts w:ascii="宋体" w:hAnsi="宋体"/>
          <w:sz w:val="24"/>
          <w:u w:val="single"/>
        </w:rPr>
        <w:t>/</w:t>
      </w:r>
      <w:r>
        <w:rPr>
          <w:rFonts w:ascii="宋体" w:hAnsi="宋体"/>
          <w:sz w:val="24"/>
        </w:rPr>
        <w:t>。</w:t>
      </w:r>
    </w:p>
    <w:p w14:paraId="20D89CB9">
      <w:pPr>
        <w:numPr>
          <w:ilvl w:val="0"/>
          <w:numId w:val="17"/>
        </w:numPr>
        <w:tabs>
          <w:tab w:val="left" w:pos="360"/>
        </w:tabs>
        <w:snapToGrid w:val="0"/>
        <w:spacing w:line="360" w:lineRule="auto"/>
        <w:outlineLvl w:val="1"/>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31012CFD">
      <w:pPr>
        <w:numPr>
          <w:ilvl w:val="1"/>
          <w:numId w:val="17"/>
        </w:numPr>
        <w:tabs>
          <w:tab w:val="left" w:pos="1080"/>
        </w:tabs>
        <w:snapToGrid w:val="0"/>
        <w:spacing w:line="360" w:lineRule="auto"/>
        <w:ind w:left="1077" w:hanging="720"/>
        <w:rPr>
          <w:rFonts w:ascii="宋体" w:hAnsi="宋体"/>
          <w:sz w:val="24"/>
        </w:rPr>
      </w:pPr>
      <w:r>
        <w:rPr>
          <w:rFonts w:ascii="宋体" w:hAnsi="宋体"/>
          <w:sz w:val="24"/>
        </w:rPr>
        <w:t>供应商对实质性变动不予确认的；</w:t>
      </w:r>
    </w:p>
    <w:p w14:paraId="1527C034">
      <w:pPr>
        <w:numPr>
          <w:ilvl w:val="1"/>
          <w:numId w:val="17"/>
        </w:numPr>
        <w:tabs>
          <w:tab w:val="left" w:pos="1080"/>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hint="eastAsia" w:ascii="宋体" w:hAnsi="宋体"/>
          <w:sz w:val="24"/>
        </w:rPr>
        <w:t>《</w:t>
      </w:r>
      <w:r>
        <w:rPr>
          <w:rFonts w:ascii="宋体" w:hAnsi="宋体"/>
          <w:sz w:val="24"/>
        </w:rPr>
        <w:t>采购需求</w:t>
      </w:r>
      <w:r>
        <w:rPr>
          <w:rFonts w:hint="eastAsia" w:ascii="宋体" w:hAnsi="宋体"/>
          <w:sz w:val="24"/>
        </w:rPr>
        <w:t>》</w:t>
      </w:r>
      <w:r>
        <w:rPr>
          <w:rFonts w:ascii="宋体" w:hAnsi="宋体"/>
          <w:sz w:val="24"/>
        </w:rPr>
        <w:t>中主要技术参数允许偏差的最大范围的（如有）；</w:t>
      </w:r>
    </w:p>
    <w:p w14:paraId="310539A6">
      <w:pPr>
        <w:numPr>
          <w:ilvl w:val="1"/>
          <w:numId w:val="17"/>
        </w:numPr>
        <w:tabs>
          <w:tab w:val="left" w:pos="1080"/>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14:paraId="308155F8">
      <w:pPr>
        <w:numPr>
          <w:ilvl w:val="1"/>
          <w:numId w:val="17"/>
        </w:numPr>
        <w:tabs>
          <w:tab w:val="left" w:pos="1080"/>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如供应商的最后报价超过竞争性磋商文件中规定的项目/采购包预算金额或者项目/采购包最高限价的；</w:t>
      </w:r>
    </w:p>
    <w:p w14:paraId="6CCBDB90">
      <w:pPr>
        <w:numPr>
          <w:ilvl w:val="1"/>
          <w:numId w:val="17"/>
        </w:numPr>
        <w:tabs>
          <w:tab w:val="left" w:pos="1080"/>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14:paraId="63B326A9">
      <w:pPr>
        <w:numPr>
          <w:ilvl w:val="1"/>
          <w:numId w:val="17"/>
        </w:numPr>
        <w:tabs>
          <w:tab w:val="left" w:pos="1080"/>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14:paraId="6ADF0B44">
      <w:pPr>
        <w:numPr>
          <w:ilvl w:val="1"/>
          <w:numId w:val="17"/>
        </w:numPr>
        <w:tabs>
          <w:tab w:val="left" w:pos="1080"/>
        </w:tabs>
        <w:snapToGrid w:val="0"/>
        <w:spacing w:line="360" w:lineRule="auto"/>
        <w:ind w:left="1077" w:hanging="720"/>
        <w:rPr>
          <w:rFonts w:ascii="宋体" w:hAnsi="宋体"/>
          <w:sz w:val="24"/>
        </w:rPr>
      </w:pPr>
      <w:r>
        <w:rPr>
          <w:rFonts w:ascii="宋体" w:hAnsi="宋体"/>
          <w:sz w:val="24"/>
        </w:rPr>
        <w:t>其他：</w:t>
      </w:r>
      <w:r>
        <w:rPr>
          <w:rFonts w:ascii="宋体" w:hAnsi="宋体"/>
          <w:sz w:val="24"/>
          <w:u w:val="single"/>
        </w:rPr>
        <w:t>/</w:t>
      </w:r>
      <w:r>
        <w:rPr>
          <w:rFonts w:ascii="宋体" w:hAnsi="宋体"/>
          <w:sz w:val="24"/>
        </w:rPr>
        <w:t>。</w:t>
      </w:r>
    </w:p>
    <w:bookmarkEnd w:id="635"/>
    <w:bookmarkEnd w:id="636"/>
    <w:p w14:paraId="09C022CC">
      <w:pPr>
        <w:numPr>
          <w:ilvl w:val="0"/>
          <w:numId w:val="17"/>
        </w:numPr>
        <w:tabs>
          <w:tab w:val="left" w:pos="360"/>
        </w:tabs>
        <w:snapToGrid w:val="0"/>
        <w:spacing w:line="360" w:lineRule="auto"/>
        <w:outlineLvl w:val="1"/>
        <w:rPr>
          <w:rFonts w:ascii="宋体" w:hAnsi="宋体"/>
          <w:sz w:val="24"/>
        </w:rPr>
      </w:pPr>
      <w:r>
        <w:rPr>
          <w:rFonts w:ascii="宋体" w:hAnsi="宋体"/>
          <w:sz w:val="24"/>
        </w:rPr>
        <w:t>评审方法和评审标准</w:t>
      </w:r>
    </w:p>
    <w:p w14:paraId="2B039F96">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50E0F2A">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14:paraId="476897A6">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sz w:val="24"/>
          <w:u w:val="single"/>
        </w:rPr>
        <w:t>/</w:t>
      </w:r>
      <w:r>
        <w:rPr>
          <w:rFonts w:ascii="宋体" w:hAnsi="宋体"/>
          <w:sz w:val="24"/>
        </w:rPr>
        <w:t>。</w:t>
      </w:r>
    </w:p>
    <w:p w14:paraId="128E8988">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关于无线局域网认证产品政府采购清单中的产品，优先采购的具体规定（如涉及）</w:t>
      </w:r>
      <w:r>
        <w:rPr>
          <w:rFonts w:ascii="宋体" w:hAnsi="宋体"/>
          <w:sz w:val="24"/>
          <w:u w:val="single"/>
        </w:rPr>
        <w:t>/</w:t>
      </w:r>
      <w:r>
        <w:rPr>
          <w:rFonts w:ascii="宋体" w:hAnsi="宋体"/>
          <w:sz w:val="24"/>
        </w:rPr>
        <w:t>。</w:t>
      </w:r>
    </w:p>
    <w:p w14:paraId="013EF22A">
      <w:pPr>
        <w:numPr>
          <w:ilvl w:val="0"/>
          <w:numId w:val="17"/>
        </w:numPr>
        <w:tabs>
          <w:tab w:val="left" w:pos="360"/>
        </w:tabs>
        <w:snapToGrid w:val="0"/>
        <w:spacing w:line="360" w:lineRule="auto"/>
        <w:outlineLvl w:val="1"/>
        <w:rPr>
          <w:rFonts w:ascii="宋体" w:hAnsi="宋体"/>
          <w:sz w:val="24"/>
        </w:rPr>
      </w:pPr>
      <w:r>
        <w:rPr>
          <w:rFonts w:ascii="宋体" w:hAnsi="宋体"/>
          <w:sz w:val="24"/>
        </w:rPr>
        <w:t>确定</w:t>
      </w:r>
      <w:bookmarkStart w:id="652" w:name="_Toc150774646"/>
      <w:bookmarkStart w:id="653" w:name="_Toc149720839"/>
      <w:bookmarkStart w:id="654" w:name="_Toc164229241"/>
      <w:bookmarkStart w:id="655" w:name="_Toc164229387"/>
      <w:bookmarkStart w:id="656" w:name="_Toc164608660"/>
      <w:bookmarkStart w:id="657" w:name="_Toc151193934"/>
      <w:bookmarkStart w:id="658" w:name="_Toc265228384"/>
      <w:bookmarkStart w:id="659" w:name="_Toc127151747"/>
      <w:bookmarkStart w:id="660" w:name="_Toc264969236"/>
      <w:bookmarkStart w:id="661" w:name="_Toc226965819"/>
      <w:bookmarkStart w:id="662" w:name="_Toc520356170"/>
      <w:bookmarkStart w:id="663" w:name="_Toc150774751"/>
      <w:bookmarkStart w:id="664" w:name="_Toc150509297"/>
      <w:bookmarkStart w:id="665" w:name="_Toc164351640"/>
      <w:bookmarkStart w:id="666" w:name="_Toc151190173"/>
      <w:bookmarkStart w:id="667" w:name="_Toc226337242"/>
      <w:bookmarkStart w:id="668" w:name="_Toc305158814"/>
      <w:bookmarkStart w:id="669" w:name="_Toc151193644"/>
      <w:bookmarkStart w:id="670" w:name="_Toc127151546"/>
      <w:bookmarkStart w:id="671" w:name="_Toc151193788"/>
      <w:bookmarkStart w:id="672" w:name="_Toc151193860"/>
      <w:bookmarkStart w:id="673" w:name="_Toc150480784"/>
      <w:bookmarkStart w:id="674" w:name="_Ref467307010"/>
      <w:bookmarkStart w:id="675" w:name="_Toc164608815"/>
      <w:bookmarkStart w:id="676" w:name="_Toc142311048"/>
      <w:bookmarkStart w:id="677" w:name="_Toc226309790"/>
      <w:bookmarkStart w:id="678" w:name="_Toc305158888"/>
      <w:bookmarkStart w:id="679" w:name="_Toc151193716"/>
      <w:bookmarkStart w:id="680" w:name="_Toc195842911"/>
      <w:bookmarkStart w:id="681" w:name="_Toc127161460"/>
      <w:bookmarkStart w:id="682" w:name="_Toc226965736"/>
      <w:r>
        <w:rPr>
          <w:rFonts w:ascii="宋体" w:hAnsi="宋体"/>
          <w:sz w:val="24"/>
        </w:rPr>
        <w:t>成交候选人名单</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66DCDADF">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41C57DE5">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kern w:val="0"/>
          <w:sz w:val="24"/>
          <w:szCs w:val="20"/>
        </w:rPr>
        <w:t>磋商小组根据上述供应商排序，依次推荐排序前</w:t>
      </w:r>
      <w:r>
        <w:rPr>
          <w:rFonts w:ascii="宋体" w:hAnsi="宋体"/>
          <w:sz w:val="24"/>
          <w:u w:val="single"/>
        </w:rPr>
        <w:t>3</w:t>
      </w:r>
      <w:r>
        <w:rPr>
          <w:rFonts w:ascii="宋体" w:hAnsi="宋体"/>
          <w:sz w:val="24"/>
        </w:rPr>
        <w:t>名</w:t>
      </w:r>
      <w:r>
        <w:rPr>
          <w:rFonts w:ascii="宋体" w:hAnsi="宋体"/>
          <w:kern w:val="0"/>
          <w:sz w:val="24"/>
          <w:szCs w:val="20"/>
        </w:rPr>
        <w:t>的供应商为</w:t>
      </w:r>
      <w:r>
        <w:rPr>
          <w:rFonts w:ascii="宋体" w:hAnsi="宋体"/>
          <w:snapToGrid w:val="0"/>
          <w:kern w:val="0"/>
          <w:sz w:val="24"/>
          <w:szCs w:val="21"/>
        </w:rPr>
        <w:t>成交候选供应商</w:t>
      </w:r>
      <w:r>
        <w:rPr>
          <w:rFonts w:ascii="宋体" w:hAnsi="宋体"/>
          <w:kern w:val="0"/>
          <w:sz w:val="24"/>
          <w:szCs w:val="20"/>
        </w:rPr>
        <w:t>（若在磋商文件允许的情形下提交最后报价的供应商为二家，则依次推荐二名供应商为成交候选供应商），并编写评审报告。</w:t>
      </w:r>
    </w:p>
    <w:p w14:paraId="507B9A2D">
      <w:pPr>
        <w:numPr>
          <w:ilvl w:val="1"/>
          <w:numId w:val="17"/>
        </w:numPr>
        <w:tabs>
          <w:tab w:val="left" w:pos="1080"/>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14:paraId="30D67DFA">
      <w:pPr>
        <w:numPr>
          <w:ilvl w:val="0"/>
          <w:numId w:val="17"/>
        </w:numPr>
        <w:tabs>
          <w:tab w:val="left" w:pos="360"/>
        </w:tabs>
        <w:snapToGrid w:val="0"/>
        <w:spacing w:line="360" w:lineRule="auto"/>
        <w:outlineLvl w:val="1"/>
        <w:rPr>
          <w:rFonts w:ascii="宋体" w:hAnsi="宋体"/>
          <w:sz w:val="24"/>
        </w:rPr>
      </w:pPr>
      <w:r>
        <w:rPr>
          <w:rFonts w:ascii="宋体" w:hAnsi="宋体"/>
          <w:sz w:val="24"/>
        </w:rPr>
        <w:t>报告违法行为</w:t>
      </w:r>
    </w:p>
    <w:p w14:paraId="2FAB9A31">
      <w:pPr>
        <w:widowControl/>
        <w:numPr>
          <w:ilvl w:val="1"/>
          <w:numId w:val="17"/>
        </w:numPr>
        <w:tabs>
          <w:tab w:val="left" w:pos="1080"/>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p>
    <w:p w14:paraId="65471062">
      <w:pPr>
        <w:pStyle w:val="4"/>
        <w:spacing w:before="0" w:line="360" w:lineRule="auto"/>
        <w:rPr>
          <w:rFonts w:ascii="宋体" w:hAnsi="宋体" w:eastAsia="宋体"/>
          <w:sz w:val="24"/>
          <w:szCs w:val="24"/>
        </w:rPr>
      </w:pPr>
      <w:r>
        <w:rPr>
          <w:rFonts w:ascii="宋体" w:hAnsi="宋体" w:eastAsia="宋体"/>
          <w:sz w:val="24"/>
          <w:szCs w:val="24"/>
        </w:rPr>
        <w:br w:type="page"/>
      </w:r>
      <w:r>
        <w:rPr>
          <w:rFonts w:ascii="宋体" w:hAnsi="宋体" w:eastAsia="宋体"/>
          <w:sz w:val="24"/>
          <w:szCs w:val="24"/>
        </w:rPr>
        <w:t>二、评</w:t>
      </w:r>
      <w:r>
        <w:rPr>
          <w:rFonts w:hint="eastAsia" w:ascii="宋体" w:hAnsi="宋体" w:eastAsia="宋体"/>
          <w:sz w:val="24"/>
          <w:szCs w:val="24"/>
        </w:rPr>
        <w:t>审</w:t>
      </w:r>
      <w:r>
        <w:rPr>
          <w:rFonts w:ascii="宋体" w:hAnsi="宋体" w:eastAsia="宋体"/>
          <w:sz w:val="24"/>
          <w:szCs w:val="24"/>
        </w:rPr>
        <w:t>标准</w:t>
      </w:r>
    </w:p>
    <w:p w14:paraId="724C5D7C">
      <w:pPr>
        <w:tabs>
          <w:tab w:val="left" w:pos="360"/>
          <w:tab w:val="left" w:pos="900"/>
          <w:tab w:val="left" w:pos="1080"/>
          <w:tab w:val="left" w:pos="2014"/>
        </w:tabs>
        <w:snapToGrid w:val="0"/>
        <w:spacing w:line="360" w:lineRule="auto"/>
        <w:rPr>
          <w:rFonts w:ascii="宋体" w:hAnsi="宋体"/>
          <w:sz w:val="24"/>
        </w:rPr>
      </w:pPr>
      <w:r>
        <w:rPr>
          <w:rFonts w:hint="eastAsia" w:ascii="宋体" w:hAnsi="宋体"/>
          <w:sz w:val="24"/>
        </w:rPr>
        <w:t>报价及商务评审标准</w:t>
      </w:r>
    </w:p>
    <w:tbl>
      <w:tblPr>
        <w:tblStyle w:val="67"/>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221"/>
        <w:gridCol w:w="992"/>
        <w:gridCol w:w="5421"/>
      </w:tblGrid>
      <w:tr w14:paraId="6F60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64" w:type="dxa"/>
            <w:vAlign w:val="center"/>
          </w:tcPr>
          <w:p w14:paraId="76AB4EBC">
            <w:pPr>
              <w:ind w:firstLine="28"/>
              <w:jc w:val="center"/>
              <w:rPr>
                <w:rFonts w:ascii="宋体" w:hAnsi="宋体"/>
                <w:b/>
                <w:sz w:val="24"/>
              </w:rPr>
            </w:pPr>
            <w:r>
              <w:rPr>
                <w:rFonts w:ascii="宋体" w:hAnsi="宋体"/>
                <w:b/>
                <w:sz w:val="24"/>
              </w:rPr>
              <w:t>序号</w:t>
            </w:r>
          </w:p>
        </w:tc>
        <w:tc>
          <w:tcPr>
            <w:tcW w:w="2221" w:type="dxa"/>
            <w:vAlign w:val="center"/>
          </w:tcPr>
          <w:p w14:paraId="24F889B2">
            <w:pPr>
              <w:ind w:firstLine="28"/>
              <w:jc w:val="center"/>
              <w:rPr>
                <w:rFonts w:ascii="宋体" w:hAnsi="宋体"/>
                <w:b/>
                <w:sz w:val="24"/>
              </w:rPr>
            </w:pPr>
            <w:r>
              <w:rPr>
                <w:rFonts w:ascii="宋体" w:hAnsi="宋体"/>
                <w:b/>
                <w:sz w:val="24"/>
              </w:rPr>
              <w:t>评分因素</w:t>
            </w:r>
          </w:p>
        </w:tc>
        <w:tc>
          <w:tcPr>
            <w:tcW w:w="992" w:type="dxa"/>
            <w:vAlign w:val="center"/>
          </w:tcPr>
          <w:p w14:paraId="6DC72DD4">
            <w:pPr>
              <w:ind w:firstLine="28"/>
              <w:jc w:val="center"/>
              <w:rPr>
                <w:rFonts w:ascii="宋体" w:hAnsi="宋体"/>
                <w:b/>
                <w:sz w:val="24"/>
              </w:rPr>
            </w:pPr>
            <w:r>
              <w:rPr>
                <w:rFonts w:ascii="宋体" w:hAnsi="宋体"/>
                <w:b/>
                <w:sz w:val="24"/>
              </w:rPr>
              <w:t>分值</w:t>
            </w:r>
          </w:p>
        </w:tc>
        <w:tc>
          <w:tcPr>
            <w:tcW w:w="5421" w:type="dxa"/>
            <w:vAlign w:val="center"/>
          </w:tcPr>
          <w:p w14:paraId="0D3618C0">
            <w:pPr>
              <w:ind w:firstLine="28"/>
              <w:jc w:val="center"/>
              <w:rPr>
                <w:rFonts w:ascii="宋体" w:hAnsi="宋体"/>
                <w:b/>
                <w:sz w:val="24"/>
              </w:rPr>
            </w:pPr>
            <w:r>
              <w:rPr>
                <w:rFonts w:ascii="宋体" w:hAnsi="宋体"/>
                <w:b/>
                <w:sz w:val="24"/>
              </w:rPr>
              <w:t>评分标准</w:t>
            </w:r>
          </w:p>
        </w:tc>
      </w:tr>
      <w:tr w14:paraId="52A9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64" w:type="dxa"/>
            <w:vAlign w:val="center"/>
          </w:tcPr>
          <w:p w14:paraId="5B5B2C90">
            <w:pPr>
              <w:ind w:firstLine="28"/>
              <w:jc w:val="center"/>
              <w:rPr>
                <w:rFonts w:ascii="宋体" w:hAnsi="宋体"/>
                <w:b/>
                <w:sz w:val="24"/>
              </w:rPr>
            </w:pPr>
            <w:r>
              <w:rPr>
                <w:rFonts w:ascii="宋体" w:hAnsi="宋体"/>
                <w:sz w:val="24"/>
              </w:rPr>
              <w:t>1</w:t>
            </w:r>
          </w:p>
        </w:tc>
        <w:tc>
          <w:tcPr>
            <w:tcW w:w="2221" w:type="dxa"/>
            <w:vAlign w:val="center"/>
          </w:tcPr>
          <w:p w14:paraId="53C987D2">
            <w:pPr>
              <w:ind w:firstLine="28"/>
              <w:jc w:val="center"/>
              <w:rPr>
                <w:rFonts w:ascii="宋体" w:hAnsi="宋体"/>
                <w:b/>
                <w:sz w:val="24"/>
              </w:rPr>
            </w:pPr>
            <w:r>
              <w:rPr>
                <w:rFonts w:hint="eastAsia" w:ascii="宋体" w:hAnsi="宋体"/>
                <w:sz w:val="24"/>
              </w:rPr>
              <w:t>磋商</w:t>
            </w:r>
            <w:r>
              <w:rPr>
                <w:rFonts w:ascii="宋体" w:hAnsi="宋体"/>
                <w:sz w:val="24"/>
              </w:rPr>
              <w:t>报价</w:t>
            </w:r>
          </w:p>
        </w:tc>
        <w:tc>
          <w:tcPr>
            <w:tcW w:w="992" w:type="dxa"/>
            <w:vAlign w:val="center"/>
          </w:tcPr>
          <w:p w14:paraId="756C78A0">
            <w:pPr>
              <w:ind w:firstLine="28"/>
              <w:jc w:val="center"/>
              <w:rPr>
                <w:rFonts w:ascii="宋体" w:hAnsi="宋体"/>
                <w:sz w:val="24"/>
              </w:rPr>
            </w:pPr>
            <w:r>
              <w:rPr>
                <w:rFonts w:ascii="宋体" w:hAnsi="宋体"/>
                <w:sz w:val="24"/>
              </w:rPr>
              <w:t>30</w:t>
            </w:r>
          </w:p>
        </w:tc>
        <w:tc>
          <w:tcPr>
            <w:tcW w:w="5421" w:type="dxa"/>
            <w:vAlign w:val="center"/>
          </w:tcPr>
          <w:p w14:paraId="11FD18CC">
            <w:pPr>
              <w:ind w:firstLine="28"/>
              <w:rPr>
                <w:rFonts w:ascii="宋体" w:hAnsi="宋体"/>
                <w:sz w:val="24"/>
              </w:rPr>
            </w:pPr>
            <w:r>
              <w:rPr>
                <w:rFonts w:hint="eastAsia" w:ascii="宋体" w:hAnsi="宋体"/>
                <w:sz w:val="24"/>
              </w:rPr>
              <w:t>评标基准价：</w:t>
            </w:r>
            <w:r>
              <w:rPr>
                <w:rFonts w:ascii="宋体" w:hAnsi="宋体"/>
                <w:sz w:val="24"/>
              </w:rPr>
              <w:t>满足磋商文件要求</w:t>
            </w:r>
            <w:r>
              <w:rPr>
                <w:rFonts w:hint="eastAsia" w:ascii="宋体" w:hAnsi="宋体"/>
                <w:sz w:val="24"/>
              </w:rPr>
              <w:t>且响应价格最低的响应报价</w:t>
            </w:r>
            <w:r>
              <w:rPr>
                <w:rFonts w:ascii="宋体" w:hAnsi="宋体"/>
                <w:sz w:val="24"/>
              </w:rPr>
              <w:t>为磋商基准价，其价格分为满分。其他供应商的价格分统一按照下列公式计算：</w:t>
            </w:r>
          </w:p>
          <w:p w14:paraId="35ACF831">
            <w:pPr>
              <w:ind w:firstLine="28"/>
              <w:rPr>
                <w:rFonts w:ascii="宋体" w:hAnsi="宋体"/>
                <w:sz w:val="24"/>
              </w:rPr>
            </w:pPr>
            <w:r>
              <w:rPr>
                <w:rFonts w:hint="eastAsia" w:ascii="宋体" w:hAnsi="宋体"/>
                <w:sz w:val="24"/>
              </w:rPr>
              <w:t>响应</w:t>
            </w:r>
            <w:r>
              <w:rPr>
                <w:rFonts w:ascii="宋体" w:hAnsi="宋体"/>
                <w:sz w:val="24"/>
              </w:rPr>
              <w:t>报价得分=（磋商基准价/</w:t>
            </w:r>
            <w:r>
              <w:rPr>
                <w:rFonts w:hint="eastAsia" w:ascii="宋体" w:hAnsi="宋体"/>
                <w:sz w:val="24"/>
              </w:rPr>
              <w:t>响应</w:t>
            </w:r>
            <w:r>
              <w:rPr>
                <w:rFonts w:ascii="宋体" w:hAnsi="宋体"/>
                <w:sz w:val="24"/>
              </w:rPr>
              <w:t>报价）×分值</w:t>
            </w:r>
          </w:p>
          <w:p w14:paraId="72CC3CDC">
            <w:pPr>
              <w:ind w:firstLine="28"/>
              <w:rPr>
                <w:rFonts w:ascii="宋体" w:hAnsi="宋体"/>
                <w:sz w:val="24"/>
              </w:rPr>
            </w:pPr>
          </w:p>
          <w:p w14:paraId="403BD6BC">
            <w:pPr>
              <w:ind w:firstLine="28"/>
              <w:rPr>
                <w:rFonts w:ascii="宋体" w:hAnsi="宋体"/>
                <w:sz w:val="24"/>
              </w:rPr>
            </w:pPr>
            <w:r>
              <w:rPr>
                <w:rFonts w:hint="eastAsia" w:ascii="宋体" w:hAnsi="宋体"/>
                <w:sz w:val="24"/>
              </w:rPr>
              <w:t>备注：此处最后报价指经过报价修正，符合第三章《评审方法和评审标准》3.2及3.3情形的，可以享受中小企业扶持政策，用扣除后的价格参加评标；对小微企业报价给予3%的扣除，用扣除后的价格参加评标。</w:t>
            </w:r>
            <w:r>
              <w:rPr>
                <w:rFonts w:ascii="宋体" w:hAnsi="宋体"/>
                <w:sz w:val="24"/>
              </w:rPr>
              <w:t xml:space="preserve"> </w:t>
            </w:r>
          </w:p>
        </w:tc>
      </w:tr>
      <w:tr w14:paraId="69B2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64" w:type="dxa"/>
            <w:vAlign w:val="center"/>
          </w:tcPr>
          <w:p w14:paraId="52BFC7F3">
            <w:pPr>
              <w:ind w:firstLine="28"/>
              <w:jc w:val="center"/>
              <w:rPr>
                <w:rFonts w:ascii="宋体" w:hAnsi="宋体"/>
                <w:sz w:val="24"/>
              </w:rPr>
            </w:pPr>
            <w:r>
              <w:rPr>
                <w:rFonts w:hint="eastAsia" w:ascii="宋体" w:hAnsi="宋体"/>
                <w:sz w:val="24"/>
              </w:rPr>
              <w:t>2</w:t>
            </w:r>
          </w:p>
        </w:tc>
        <w:tc>
          <w:tcPr>
            <w:tcW w:w="2221" w:type="dxa"/>
            <w:vMerge w:val="restart"/>
            <w:vAlign w:val="center"/>
          </w:tcPr>
          <w:p w14:paraId="2266A36D">
            <w:pPr>
              <w:ind w:firstLine="28"/>
              <w:jc w:val="center"/>
              <w:rPr>
                <w:rFonts w:ascii="宋体" w:hAnsi="宋体"/>
                <w:sz w:val="24"/>
              </w:rPr>
            </w:pPr>
            <w:r>
              <w:rPr>
                <w:rFonts w:hint="eastAsia" w:ascii="宋体" w:hAnsi="宋体"/>
                <w:sz w:val="24"/>
              </w:rPr>
              <w:t>拟派团队</w:t>
            </w:r>
          </w:p>
        </w:tc>
        <w:tc>
          <w:tcPr>
            <w:tcW w:w="992" w:type="dxa"/>
            <w:vAlign w:val="center"/>
          </w:tcPr>
          <w:p w14:paraId="56984086">
            <w:pPr>
              <w:ind w:firstLine="28"/>
              <w:jc w:val="center"/>
              <w:rPr>
                <w:rFonts w:ascii="宋体" w:hAnsi="宋体"/>
                <w:sz w:val="24"/>
              </w:rPr>
            </w:pPr>
            <w:r>
              <w:rPr>
                <w:rFonts w:ascii="宋体" w:hAnsi="宋体"/>
                <w:sz w:val="24"/>
              </w:rPr>
              <w:t>6</w:t>
            </w:r>
          </w:p>
        </w:tc>
        <w:tc>
          <w:tcPr>
            <w:tcW w:w="5421" w:type="dxa"/>
            <w:vAlign w:val="center"/>
          </w:tcPr>
          <w:p w14:paraId="29F029CD">
            <w:pPr>
              <w:ind w:firstLine="28"/>
              <w:jc w:val="left"/>
              <w:rPr>
                <w:rFonts w:ascii="宋体" w:hAnsi="宋体"/>
                <w:sz w:val="24"/>
              </w:rPr>
            </w:pPr>
            <w:r>
              <w:rPr>
                <w:rFonts w:hint="eastAsia" w:ascii="宋体" w:hAnsi="宋体"/>
                <w:sz w:val="24"/>
              </w:rPr>
              <w:t>人员配备数量充足、架构合理，得</w:t>
            </w:r>
            <w:r>
              <w:rPr>
                <w:rFonts w:ascii="宋体" w:hAnsi="宋体"/>
                <w:sz w:val="24"/>
              </w:rPr>
              <w:t>6</w:t>
            </w:r>
            <w:r>
              <w:rPr>
                <w:rFonts w:hint="eastAsia" w:ascii="宋体" w:hAnsi="宋体"/>
                <w:sz w:val="24"/>
              </w:rPr>
              <w:t>分</w:t>
            </w:r>
          </w:p>
          <w:p w14:paraId="7D805E22">
            <w:pPr>
              <w:ind w:firstLine="28"/>
              <w:jc w:val="left"/>
              <w:rPr>
                <w:rFonts w:ascii="宋体" w:hAnsi="宋体"/>
                <w:sz w:val="24"/>
              </w:rPr>
            </w:pPr>
            <w:r>
              <w:rPr>
                <w:rFonts w:hint="eastAsia" w:ascii="宋体" w:hAnsi="宋体"/>
                <w:sz w:val="24"/>
              </w:rPr>
              <w:t>人员配备数量较充足、架构较合理，得</w:t>
            </w:r>
            <w:r>
              <w:rPr>
                <w:rFonts w:ascii="宋体" w:hAnsi="宋体"/>
                <w:sz w:val="24"/>
              </w:rPr>
              <w:t>4</w:t>
            </w:r>
            <w:r>
              <w:rPr>
                <w:rFonts w:hint="eastAsia" w:ascii="宋体" w:hAnsi="宋体"/>
                <w:sz w:val="24"/>
              </w:rPr>
              <w:t>分</w:t>
            </w:r>
          </w:p>
          <w:p w14:paraId="40A83530">
            <w:pPr>
              <w:ind w:firstLine="28"/>
              <w:jc w:val="left"/>
              <w:rPr>
                <w:rFonts w:ascii="宋体" w:hAnsi="宋体"/>
                <w:sz w:val="24"/>
              </w:rPr>
            </w:pPr>
            <w:r>
              <w:rPr>
                <w:rFonts w:hint="eastAsia" w:ascii="宋体" w:hAnsi="宋体"/>
                <w:sz w:val="24"/>
              </w:rPr>
              <w:t>人员配备数量一般、架构基本齐全，得3分</w:t>
            </w:r>
          </w:p>
          <w:p w14:paraId="100D4F94">
            <w:pPr>
              <w:ind w:firstLine="28"/>
              <w:jc w:val="left"/>
              <w:rPr>
                <w:rFonts w:ascii="宋体" w:hAnsi="宋体"/>
                <w:sz w:val="24"/>
              </w:rPr>
            </w:pPr>
            <w:r>
              <w:rPr>
                <w:rFonts w:hint="eastAsia" w:ascii="宋体" w:hAnsi="宋体"/>
                <w:sz w:val="24"/>
              </w:rPr>
              <w:t>人员配备数量不充足、架构不够齐全，得</w:t>
            </w:r>
            <w:r>
              <w:rPr>
                <w:rFonts w:ascii="宋体" w:hAnsi="宋体"/>
                <w:sz w:val="24"/>
              </w:rPr>
              <w:t>2</w:t>
            </w:r>
            <w:r>
              <w:rPr>
                <w:rFonts w:hint="eastAsia" w:ascii="宋体" w:hAnsi="宋体"/>
                <w:sz w:val="24"/>
              </w:rPr>
              <w:t>分</w:t>
            </w:r>
          </w:p>
        </w:tc>
      </w:tr>
      <w:tr w14:paraId="26A4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64" w:type="dxa"/>
            <w:vAlign w:val="center"/>
          </w:tcPr>
          <w:p w14:paraId="3A5C0CAF">
            <w:pPr>
              <w:ind w:firstLine="28"/>
              <w:jc w:val="center"/>
              <w:rPr>
                <w:rFonts w:ascii="宋体" w:hAnsi="宋体"/>
                <w:sz w:val="24"/>
              </w:rPr>
            </w:pPr>
            <w:r>
              <w:rPr>
                <w:rFonts w:hint="eastAsia" w:ascii="宋体" w:hAnsi="宋体"/>
                <w:sz w:val="24"/>
              </w:rPr>
              <w:t>3</w:t>
            </w:r>
          </w:p>
        </w:tc>
        <w:tc>
          <w:tcPr>
            <w:tcW w:w="2221" w:type="dxa"/>
            <w:vMerge w:val="continue"/>
            <w:vAlign w:val="center"/>
          </w:tcPr>
          <w:p w14:paraId="785F6465">
            <w:pPr>
              <w:ind w:firstLine="28"/>
              <w:jc w:val="center"/>
              <w:rPr>
                <w:rFonts w:ascii="宋体" w:hAnsi="宋体"/>
                <w:sz w:val="24"/>
              </w:rPr>
            </w:pPr>
          </w:p>
        </w:tc>
        <w:tc>
          <w:tcPr>
            <w:tcW w:w="992" w:type="dxa"/>
            <w:vAlign w:val="center"/>
          </w:tcPr>
          <w:p w14:paraId="7E9B7A30">
            <w:pPr>
              <w:ind w:firstLine="28"/>
              <w:jc w:val="center"/>
              <w:rPr>
                <w:rFonts w:ascii="宋体" w:hAnsi="宋体"/>
                <w:sz w:val="24"/>
              </w:rPr>
            </w:pPr>
            <w:r>
              <w:rPr>
                <w:rFonts w:ascii="宋体" w:hAnsi="宋体"/>
                <w:sz w:val="24"/>
              </w:rPr>
              <w:t>6</w:t>
            </w:r>
          </w:p>
        </w:tc>
        <w:tc>
          <w:tcPr>
            <w:tcW w:w="5421" w:type="dxa"/>
            <w:vAlign w:val="center"/>
          </w:tcPr>
          <w:p w14:paraId="1B475E93">
            <w:pPr>
              <w:ind w:firstLine="28"/>
              <w:jc w:val="left"/>
              <w:rPr>
                <w:rFonts w:ascii="宋体" w:hAnsi="宋体"/>
                <w:sz w:val="24"/>
              </w:rPr>
            </w:pPr>
            <w:bookmarkStart w:id="683" w:name="_Hlk172181318"/>
            <w:r>
              <w:rPr>
                <w:rFonts w:hint="eastAsia" w:ascii="宋体" w:hAnsi="宋体"/>
                <w:sz w:val="24"/>
              </w:rPr>
              <w:t>拟派项目经理</w:t>
            </w:r>
            <w:bookmarkEnd w:id="683"/>
          </w:p>
          <w:p w14:paraId="14C43419">
            <w:pPr>
              <w:ind w:firstLine="28"/>
              <w:jc w:val="left"/>
              <w:rPr>
                <w:rFonts w:ascii="宋体" w:hAnsi="宋体"/>
                <w:sz w:val="24"/>
              </w:rPr>
            </w:pPr>
            <w:r>
              <w:rPr>
                <w:rFonts w:hint="eastAsia" w:ascii="宋体" w:hAnsi="宋体"/>
                <w:sz w:val="24"/>
              </w:rPr>
              <w:t>具有中级职称（含）以上，得</w:t>
            </w:r>
            <w:r>
              <w:rPr>
                <w:rFonts w:ascii="宋体" w:hAnsi="宋体"/>
                <w:sz w:val="24"/>
              </w:rPr>
              <w:t>3</w:t>
            </w:r>
            <w:r>
              <w:rPr>
                <w:rFonts w:hint="eastAsia" w:ascii="宋体" w:hAnsi="宋体"/>
                <w:sz w:val="24"/>
              </w:rPr>
              <w:t>分</w:t>
            </w:r>
          </w:p>
          <w:p w14:paraId="510FCB14">
            <w:pPr>
              <w:ind w:firstLine="28"/>
              <w:jc w:val="left"/>
              <w:rPr>
                <w:rFonts w:ascii="宋体" w:hAnsi="宋体"/>
                <w:sz w:val="24"/>
              </w:rPr>
            </w:pPr>
            <w:r>
              <w:rPr>
                <w:rFonts w:hint="eastAsia" w:ascii="宋体" w:hAnsi="宋体"/>
                <w:sz w:val="24"/>
              </w:rPr>
              <w:t>学历为本科（含）以上，得</w:t>
            </w:r>
            <w:r>
              <w:rPr>
                <w:rFonts w:ascii="宋体" w:hAnsi="宋体"/>
                <w:sz w:val="24"/>
              </w:rPr>
              <w:t>1</w:t>
            </w:r>
            <w:r>
              <w:rPr>
                <w:rFonts w:hint="eastAsia" w:ascii="宋体" w:hAnsi="宋体"/>
                <w:sz w:val="24"/>
              </w:rPr>
              <w:t>分</w:t>
            </w:r>
          </w:p>
          <w:p w14:paraId="2DAB7B40">
            <w:pPr>
              <w:ind w:firstLine="28"/>
              <w:jc w:val="left"/>
              <w:rPr>
                <w:rFonts w:ascii="宋体" w:hAnsi="宋体"/>
                <w:sz w:val="24"/>
              </w:rPr>
            </w:pPr>
            <w:r>
              <w:rPr>
                <w:rFonts w:hint="eastAsia" w:ascii="宋体" w:hAnsi="宋体"/>
                <w:sz w:val="24"/>
              </w:rPr>
              <w:t>工作年限满8年（含）以上，得</w:t>
            </w:r>
            <w:r>
              <w:rPr>
                <w:rFonts w:ascii="宋体" w:hAnsi="宋体"/>
                <w:sz w:val="24"/>
              </w:rPr>
              <w:t>2</w:t>
            </w:r>
            <w:r>
              <w:rPr>
                <w:rFonts w:hint="eastAsia" w:ascii="宋体" w:hAnsi="宋体"/>
                <w:sz w:val="24"/>
              </w:rPr>
              <w:t>分</w:t>
            </w:r>
          </w:p>
        </w:tc>
      </w:tr>
      <w:tr w14:paraId="0247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64" w:type="dxa"/>
            <w:vAlign w:val="center"/>
          </w:tcPr>
          <w:p w14:paraId="05EA27B8">
            <w:pPr>
              <w:ind w:firstLine="28"/>
              <w:jc w:val="center"/>
              <w:rPr>
                <w:rFonts w:ascii="宋体" w:hAnsi="宋体"/>
                <w:sz w:val="24"/>
              </w:rPr>
            </w:pPr>
            <w:r>
              <w:rPr>
                <w:rFonts w:hint="eastAsia" w:ascii="宋体" w:hAnsi="宋体"/>
                <w:sz w:val="24"/>
              </w:rPr>
              <w:t>4</w:t>
            </w:r>
          </w:p>
        </w:tc>
        <w:tc>
          <w:tcPr>
            <w:tcW w:w="2221" w:type="dxa"/>
            <w:vAlign w:val="center"/>
          </w:tcPr>
          <w:p w14:paraId="03027FA3">
            <w:pPr>
              <w:ind w:firstLine="28"/>
              <w:jc w:val="center"/>
              <w:rPr>
                <w:rFonts w:ascii="宋体" w:hAnsi="宋体"/>
                <w:sz w:val="24"/>
              </w:rPr>
            </w:pPr>
            <w:bookmarkStart w:id="684" w:name="_Hlk172181324"/>
            <w:r>
              <w:rPr>
                <w:rFonts w:hint="eastAsia" w:ascii="宋体" w:hAnsi="宋体"/>
                <w:sz w:val="24"/>
              </w:rPr>
              <w:t>类似项目业绩</w:t>
            </w:r>
            <w:r>
              <w:rPr>
                <w:rFonts w:ascii="宋体" w:hAnsi="宋体"/>
                <w:sz w:val="24"/>
              </w:rPr>
              <w:t xml:space="preserve"> </w:t>
            </w:r>
            <w:bookmarkEnd w:id="684"/>
          </w:p>
        </w:tc>
        <w:tc>
          <w:tcPr>
            <w:tcW w:w="992" w:type="dxa"/>
            <w:vAlign w:val="center"/>
          </w:tcPr>
          <w:p w14:paraId="11E72FC3">
            <w:pPr>
              <w:ind w:firstLine="28"/>
              <w:jc w:val="center"/>
              <w:rPr>
                <w:rFonts w:ascii="宋体" w:hAnsi="宋体"/>
                <w:sz w:val="24"/>
              </w:rPr>
            </w:pPr>
            <w:r>
              <w:rPr>
                <w:rFonts w:ascii="宋体" w:hAnsi="宋体"/>
                <w:sz w:val="24"/>
              </w:rPr>
              <w:t>3</w:t>
            </w:r>
          </w:p>
        </w:tc>
        <w:tc>
          <w:tcPr>
            <w:tcW w:w="5421" w:type="dxa"/>
            <w:vAlign w:val="center"/>
          </w:tcPr>
          <w:p w14:paraId="6D201160">
            <w:pPr>
              <w:ind w:firstLine="28"/>
              <w:jc w:val="left"/>
              <w:rPr>
                <w:rFonts w:ascii="宋体" w:hAnsi="宋体"/>
                <w:sz w:val="24"/>
              </w:rPr>
            </w:pPr>
            <w:r>
              <w:rPr>
                <w:rFonts w:hint="eastAsia" w:ascii="宋体" w:hAnsi="宋体"/>
                <w:sz w:val="24"/>
              </w:rPr>
              <w:t>近三年（2021年7月1日起至2024年7月1日止）完成的类似业绩，提供一份业绩证明材料的得</w:t>
            </w:r>
            <w:r>
              <w:rPr>
                <w:rFonts w:ascii="宋体" w:hAnsi="宋体"/>
                <w:sz w:val="24"/>
              </w:rPr>
              <w:t>1</w:t>
            </w:r>
            <w:r>
              <w:rPr>
                <w:rFonts w:hint="eastAsia" w:ascii="宋体" w:hAnsi="宋体"/>
                <w:sz w:val="24"/>
              </w:rPr>
              <w:t>分，满分</w:t>
            </w:r>
            <w:r>
              <w:rPr>
                <w:rFonts w:ascii="宋体" w:hAnsi="宋体"/>
                <w:sz w:val="24"/>
              </w:rPr>
              <w:t>3</w:t>
            </w:r>
            <w:r>
              <w:rPr>
                <w:rFonts w:hint="eastAsia" w:ascii="宋体" w:hAnsi="宋体"/>
                <w:sz w:val="24"/>
              </w:rPr>
              <w:t>分。</w:t>
            </w:r>
          </w:p>
        </w:tc>
      </w:tr>
      <w:tr w14:paraId="6944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64" w:type="dxa"/>
            <w:vMerge w:val="restart"/>
            <w:vAlign w:val="center"/>
          </w:tcPr>
          <w:p w14:paraId="01A90ED0">
            <w:pPr>
              <w:ind w:firstLine="28"/>
              <w:jc w:val="center"/>
              <w:rPr>
                <w:rFonts w:ascii="宋体" w:hAnsi="宋体"/>
                <w:sz w:val="24"/>
              </w:rPr>
            </w:pPr>
            <w:r>
              <w:rPr>
                <w:rFonts w:hint="eastAsia" w:ascii="宋体" w:hAnsi="宋体"/>
                <w:sz w:val="24"/>
              </w:rPr>
              <w:t>5</w:t>
            </w:r>
          </w:p>
        </w:tc>
        <w:tc>
          <w:tcPr>
            <w:tcW w:w="2221" w:type="dxa"/>
            <w:vMerge w:val="restart"/>
            <w:vAlign w:val="center"/>
          </w:tcPr>
          <w:p w14:paraId="4DA9F9E8">
            <w:pPr>
              <w:ind w:firstLine="28"/>
              <w:jc w:val="center"/>
              <w:rPr>
                <w:rFonts w:ascii="宋体" w:hAnsi="宋体"/>
                <w:sz w:val="24"/>
              </w:rPr>
            </w:pPr>
            <w:bookmarkStart w:id="685" w:name="_Hlk172181328"/>
            <w:r>
              <w:rPr>
                <w:rFonts w:hint="eastAsia" w:ascii="宋体" w:hAnsi="宋体"/>
                <w:sz w:val="24"/>
              </w:rPr>
              <w:t>体系认证</w:t>
            </w:r>
            <w:bookmarkEnd w:id="685"/>
          </w:p>
        </w:tc>
        <w:tc>
          <w:tcPr>
            <w:tcW w:w="992" w:type="dxa"/>
            <w:vAlign w:val="center"/>
          </w:tcPr>
          <w:p w14:paraId="0CE529E7">
            <w:pPr>
              <w:ind w:firstLine="28"/>
              <w:jc w:val="center"/>
              <w:rPr>
                <w:rFonts w:ascii="宋体" w:hAnsi="宋体"/>
                <w:sz w:val="24"/>
              </w:rPr>
            </w:pPr>
            <w:r>
              <w:rPr>
                <w:rFonts w:hint="eastAsia" w:ascii="宋体" w:hAnsi="宋体"/>
                <w:sz w:val="24"/>
              </w:rPr>
              <w:t>1</w:t>
            </w:r>
          </w:p>
        </w:tc>
        <w:tc>
          <w:tcPr>
            <w:tcW w:w="5421" w:type="dxa"/>
            <w:vAlign w:val="center"/>
          </w:tcPr>
          <w:p w14:paraId="4E854215">
            <w:pPr>
              <w:autoSpaceDE w:val="0"/>
              <w:autoSpaceDN w:val="0"/>
              <w:adjustRightInd w:val="0"/>
              <w:jc w:val="left"/>
              <w:rPr>
                <w:rFonts w:ascii="宋体" w:hAnsi="宋体"/>
                <w:sz w:val="24"/>
              </w:rPr>
            </w:pPr>
            <w:r>
              <w:rPr>
                <w:rFonts w:hint="eastAsia" w:ascii="宋体" w:hAnsi="宋体"/>
                <w:sz w:val="24"/>
              </w:rPr>
              <w:t>已经取得</w:t>
            </w:r>
            <w:r>
              <w:rPr>
                <w:rFonts w:ascii="宋体" w:hAnsi="宋体"/>
                <w:sz w:val="24"/>
              </w:rPr>
              <w:t>ISO9000</w:t>
            </w:r>
            <w:r>
              <w:rPr>
                <w:rFonts w:hint="eastAsia" w:ascii="宋体" w:hAnsi="宋体"/>
                <w:sz w:val="24"/>
              </w:rPr>
              <w:t>质量管理体系认证</w:t>
            </w:r>
          </w:p>
        </w:tc>
      </w:tr>
      <w:tr w14:paraId="5225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64" w:type="dxa"/>
            <w:vMerge w:val="continue"/>
            <w:vAlign w:val="center"/>
          </w:tcPr>
          <w:p w14:paraId="16D85A1F">
            <w:pPr>
              <w:ind w:firstLine="28"/>
              <w:jc w:val="center"/>
              <w:rPr>
                <w:rFonts w:ascii="宋体" w:hAnsi="宋体"/>
                <w:sz w:val="24"/>
              </w:rPr>
            </w:pPr>
          </w:p>
        </w:tc>
        <w:tc>
          <w:tcPr>
            <w:tcW w:w="2221" w:type="dxa"/>
            <w:vMerge w:val="continue"/>
            <w:vAlign w:val="center"/>
          </w:tcPr>
          <w:p w14:paraId="05061335">
            <w:pPr>
              <w:ind w:firstLine="28"/>
              <w:jc w:val="center"/>
              <w:rPr>
                <w:rFonts w:ascii="宋体" w:hAnsi="宋体"/>
                <w:sz w:val="24"/>
              </w:rPr>
            </w:pPr>
          </w:p>
        </w:tc>
        <w:tc>
          <w:tcPr>
            <w:tcW w:w="992" w:type="dxa"/>
            <w:vAlign w:val="center"/>
          </w:tcPr>
          <w:p w14:paraId="551B97B8">
            <w:pPr>
              <w:ind w:firstLine="28"/>
              <w:jc w:val="center"/>
              <w:rPr>
                <w:rFonts w:ascii="宋体" w:hAnsi="宋体"/>
                <w:sz w:val="24"/>
              </w:rPr>
            </w:pPr>
            <w:r>
              <w:rPr>
                <w:rFonts w:hint="eastAsia" w:ascii="宋体" w:hAnsi="宋体"/>
                <w:sz w:val="24"/>
              </w:rPr>
              <w:t>1</w:t>
            </w:r>
          </w:p>
        </w:tc>
        <w:tc>
          <w:tcPr>
            <w:tcW w:w="5421" w:type="dxa"/>
            <w:vAlign w:val="center"/>
          </w:tcPr>
          <w:p w14:paraId="1E9841EA">
            <w:pPr>
              <w:autoSpaceDE w:val="0"/>
              <w:autoSpaceDN w:val="0"/>
              <w:adjustRightInd w:val="0"/>
              <w:jc w:val="left"/>
              <w:rPr>
                <w:rFonts w:ascii="宋体" w:hAnsi="宋体"/>
                <w:sz w:val="24"/>
              </w:rPr>
            </w:pPr>
            <w:r>
              <w:rPr>
                <w:rFonts w:hint="eastAsia" w:ascii="宋体" w:hAnsi="宋体"/>
                <w:sz w:val="24"/>
              </w:rPr>
              <w:t>已经取得</w:t>
            </w:r>
            <w:r>
              <w:rPr>
                <w:rFonts w:ascii="宋体" w:hAnsi="宋体"/>
                <w:sz w:val="24"/>
              </w:rPr>
              <w:t>ISO14000</w:t>
            </w:r>
            <w:r>
              <w:rPr>
                <w:rFonts w:hint="eastAsia" w:ascii="宋体" w:hAnsi="宋体"/>
                <w:sz w:val="24"/>
              </w:rPr>
              <w:t>环境管理体系认证</w:t>
            </w:r>
          </w:p>
        </w:tc>
      </w:tr>
      <w:tr w14:paraId="0F9D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64" w:type="dxa"/>
            <w:vMerge w:val="continue"/>
            <w:vAlign w:val="center"/>
          </w:tcPr>
          <w:p w14:paraId="03B42EB3">
            <w:pPr>
              <w:ind w:firstLine="28"/>
              <w:jc w:val="center"/>
              <w:rPr>
                <w:rFonts w:ascii="宋体" w:hAnsi="宋体"/>
                <w:sz w:val="24"/>
              </w:rPr>
            </w:pPr>
          </w:p>
        </w:tc>
        <w:tc>
          <w:tcPr>
            <w:tcW w:w="2221" w:type="dxa"/>
            <w:vMerge w:val="continue"/>
            <w:vAlign w:val="center"/>
          </w:tcPr>
          <w:p w14:paraId="32703A68">
            <w:pPr>
              <w:ind w:firstLine="28"/>
              <w:jc w:val="center"/>
              <w:rPr>
                <w:rFonts w:ascii="宋体" w:hAnsi="宋体"/>
                <w:sz w:val="24"/>
              </w:rPr>
            </w:pPr>
          </w:p>
        </w:tc>
        <w:tc>
          <w:tcPr>
            <w:tcW w:w="992" w:type="dxa"/>
            <w:vAlign w:val="center"/>
          </w:tcPr>
          <w:p w14:paraId="167D7629">
            <w:pPr>
              <w:ind w:firstLine="28"/>
              <w:jc w:val="center"/>
              <w:rPr>
                <w:rFonts w:ascii="宋体" w:hAnsi="宋体"/>
                <w:sz w:val="24"/>
              </w:rPr>
            </w:pPr>
            <w:r>
              <w:rPr>
                <w:rFonts w:hint="eastAsia" w:ascii="宋体" w:hAnsi="宋体"/>
                <w:sz w:val="24"/>
              </w:rPr>
              <w:t>1</w:t>
            </w:r>
          </w:p>
        </w:tc>
        <w:tc>
          <w:tcPr>
            <w:tcW w:w="5421" w:type="dxa"/>
            <w:vAlign w:val="center"/>
          </w:tcPr>
          <w:p w14:paraId="662AB638">
            <w:pPr>
              <w:autoSpaceDE w:val="0"/>
              <w:autoSpaceDN w:val="0"/>
              <w:adjustRightInd w:val="0"/>
              <w:jc w:val="left"/>
              <w:rPr>
                <w:rFonts w:ascii="宋体" w:hAnsi="宋体"/>
                <w:sz w:val="24"/>
              </w:rPr>
            </w:pPr>
            <w:r>
              <w:rPr>
                <w:rFonts w:hint="eastAsia" w:ascii="宋体" w:hAnsi="宋体"/>
                <w:sz w:val="24"/>
              </w:rPr>
              <w:t>已经取得</w:t>
            </w:r>
            <w:r>
              <w:rPr>
                <w:rFonts w:ascii="宋体" w:hAnsi="宋体"/>
                <w:sz w:val="24"/>
              </w:rPr>
              <w:t>ISO45000</w:t>
            </w:r>
            <w:r>
              <w:rPr>
                <w:rFonts w:hint="eastAsia" w:ascii="宋体" w:hAnsi="宋体"/>
                <w:sz w:val="24"/>
              </w:rPr>
              <w:t>职业安全健康管理体系认证</w:t>
            </w:r>
          </w:p>
        </w:tc>
      </w:tr>
      <w:tr w14:paraId="0EB1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085" w:type="dxa"/>
            <w:gridSpan w:val="2"/>
            <w:vAlign w:val="center"/>
          </w:tcPr>
          <w:p w14:paraId="25560CAF">
            <w:pPr>
              <w:ind w:firstLine="28"/>
              <w:jc w:val="center"/>
              <w:rPr>
                <w:rFonts w:ascii="宋体" w:hAnsi="宋体"/>
                <w:sz w:val="24"/>
              </w:rPr>
            </w:pPr>
            <w:r>
              <w:rPr>
                <w:rFonts w:ascii="宋体" w:hAnsi="宋体"/>
                <w:sz w:val="24"/>
              </w:rPr>
              <w:t>合计</w:t>
            </w:r>
          </w:p>
        </w:tc>
        <w:tc>
          <w:tcPr>
            <w:tcW w:w="6413" w:type="dxa"/>
            <w:gridSpan w:val="2"/>
            <w:vAlign w:val="center"/>
          </w:tcPr>
          <w:p w14:paraId="7131630C">
            <w:pPr>
              <w:jc w:val="left"/>
              <w:rPr>
                <w:rFonts w:ascii="宋体" w:hAnsi="宋体"/>
                <w:sz w:val="24"/>
              </w:rPr>
            </w:pPr>
            <w:r>
              <w:rPr>
                <w:rFonts w:hint="eastAsia" w:ascii="宋体" w:hAnsi="宋体"/>
                <w:sz w:val="24"/>
              </w:rPr>
              <w:t>48分</w:t>
            </w:r>
          </w:p>
        </w:tc>
      </w:tr>
    </w:tbl>
    <w:p w14:paraId="539A0937">
      <w:pPr>
        <w:tabs>
          <w:tab w:val="left" w:pos="360"/>
          <w:tab w:val="left" w:pos="1080"/>
        </w:tabs>
        <w:snapToGrid w:val="0"/>
        <w:spacing w:line="360" w:lineRule="auto"/>
        <w:rPr>
          <w:rFonts w:ascii="宋体" w:hAnsi="宋体"/>
          <w:sz w:val="24"/>
        </w:rPr>
      </w:pPr>
    </w:p>
    <w:p w14:paraId="736122C6">
      <w:pPr>
        <w:tabs>
          <w:tab w:val="left" w:pos="360"/>
          <w:tab w:val="left" w:pos="1080"/>
        </w:tabs>
        <w:snapToGrid w:val="0"/>
        <w:spacing w:line="360" w:lineRule="auto"/>
        <w:rPr>
          <w:rFonts w:ascii="宋体" w:hAnsi="宋体"/>
          <w:sz w:val="24"/>
        </w:rPr>
      </w:pPr>
    </w:p>
    <w:p w14:paraId="7080077A">
      <w:pPr>
        <w:widowControl/>
        <w:jc w:val="left"/>
        <w:rPr>
          <w:rFonts w:ascii="宋体" w:hAnsi="宋体"/>
          <w:sz w:val="24"/>
        </w:rPr>
      </w:pPr>
      <w:r>
        <w:rPr>
          <w:rFonts w:ascii="宋体" w:hAnsi="宋体"/>
          <w:sz w:val="24"/>
        </w:rPr>
        <w:br w:type="page"/>
      </w:r>
    </w:p>
    <w:p w14:paraId="7AABD5C4">
      <w:pPr>
        <w:tabs>
          <w:tab w:val="left" w:pos="360"/>
          <w:tab w:val="left" w:pos="1080"/>
        </w:tabs>
        <w:snapToGrid w:val="0"/>
        <w:spacing w:line="360" w:lineRule="auto"/>
        <w:rPr>
          <w:rFonts w:ascii="宋体" w:hAnsi="宋体"/>
          <w:sz w:val="24"/>
        </w:rPr>
      </w:pPr>
      <w:r>
        <w:rPr>
          <w:rFonts w:hint="eastAsia" w:ascii="宋体" w:hAnsi="宋体"/>
          <w:sz w:val="24"/>
        </w:rPr>
        <w:t>技术评审标准</w:t>
      </w:r>
    </w:p>
    <w:tbl>
      <w:tblPr>
        <w:tblStyle w:val="67"/>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851"/>
        <w:gridCol w:w="6129"/>
      </w:tblGrid>
      <w:tr w14:paraId="6EC2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817" w:type="dxa"/>
            <w:vAlign w:val="center"/>
          </w:tcPr>
          <w:p w14:paraId="2D34C98C">
            <w:pPr>
              <w:ind w:firstLine="28"/>
              <w:jc w:val="center"/>
              <w:rPr>
                <w:rFonts w:ascii="宋体" w:hAnsi="宋体" w:cs="宋体"/>
                <w:b/>
                <w:sz w:val="24"/>
              </w:rPr>
            </w:pPr>
            <w:r>
              <w:rPr>
                <w:rFonts w:hint="eastAsia" w:ascii="宋体" w:hAnsi="宋体" w:cs="宋体"/>
                <w:b/>
                <w:sz w:val="24"/>
              </w:rPr>
              <w:t>序号</w:t>
            </w:r>
          </w:p>
        </w:tc>
        <w:tc>
          <w:tcPr>
            <w:tcW w:w="1701" w:type="dxa"/>
            <w:vAlign w:val="center"/>
          </w:tcPr>
          <w:p w14:paraId="5D24D7C0">
            <w:pPr>
              <w:ind w:firstLine="28"/>
              <w:jc w:val="center"/>
              <w:rPr>
                <w:rFonts w:ascii="宋体" w:hAnsi="宋体" w:cs="宋体"/>
                <w:b/>
                <w:sz w:val="24"/>
              </w:rPr>
            </w:pPr>
            <w:r>
              <w:rPr>
                <w:rFonts w:hint="eastAsia" w:ascii="宋体" w:hAnsi="宋体" w:cs="宋体"/>
                <w:b/>
                <w:sz w:val="24"/>
              </w:rPr>
              <w:t>评分因素</w:t>
            </w:r>
          </w:p>
        </w:tc>
        <w:tc>
          <w:tcPr>
            <w:tcW w:w="851" w:type="dxa"/>
            <w:vAlign w:val="center"/>
          </w:tcPr>
          <w:p w14:paraId="6975BD0F">
            <w:pPr>
              <w:ind w:firstLine="28"/>
              <w:jc w:val="center"/>
              <w:rPr>
                <w:rFonts w:ascii="宋体" w:hAnsi="宋体" w:cs="宋体"/>
                <w:b/>
                <w:sz w:val="24"/>
              </w:rPr>
            </w:pPr>
            <w:r>
              <w:rPr>
                <w:rFonts w:hint="eastAsia" w:ascii="宋体" w:hAnsi="宋体" w:cs="宋体"/>
                <w:b/>
                <w:sz w:val="24"/>
              </w:rPr>
              <w:t>分值</w:t>
            </w:r>
          </w:p>
        </w:tc>
        <w:tc>
          <w:tcPr>
            <w:tcW w:w="6129" w:type="dxa"/>
            <w:vAlign w:val="center"/>
          </w:tcPr>
          <w:p w14:paraId="64E2E042">
            <w:pPr>
              <w:ind w:firstLine="28"/>
              <w:jc w:val="center"/>
              <w:rPr>
                <w:rFonts w:ascii="宋体" w:hAnsi="宋体" w:cs="宋体"/>
                <w:b/>
                <w:sz w:val="24"/>
              </w:rPr>
            </w:pPr>
            <w:r>
              <w:rPr>
                <w:rFonts w:hint="eastAsia" w:ascii="宋体" w:hAnsi="宋体" w:cs="宋体"/>
                <w:b/>
                <w:sz w:val="24"/>
              </w:rPr>
              <w:t>评分标准</w:t>
            </w:r>
          </w:p>
        </w:tc>
      </w:tr>
      <w:tr w14:paraId="24B7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17" w:type="dxa"/>
            <w:vAlign w:val="center"/>
          </w:tcPr>
          <w:p w14:paraId="2A8B2F3E">
            <w:pPr>
              <w:pStyle w:val="272"/>
              <w:numPr>
                <w:ilvl w:val="0"/>
                <w:numId w:val="19"/>
              </w:numPr>
              <w:ind w:firstLineChars="0"/>
              <w:jc w:val="center"/>
              <w:rPr>
                <w:rFonts w:ascii="宋体" w:hAnsi="宋体" w:cs="宋体"/>
                <w:sz w:val="24"/>
              </w:rPr>
            </w:pPr>
          </w:p>
        </w:tc>
        <w:tc>
          <w:tcPr>
            <w:tcW w:w="1701" w:type="dxa"/>
            <w:vAlign w:val="center"/>
          </w:tcPr>
          <w:p w14:paraId="38A0283A">
            <w:pPr>
              <w:ind w:firstLine="28"/>
              <w:jc w:val="center"/>
              <w:rPr>
                <w:rFonts w:ascii="宋体" w:hAnsi="宋体" w:cs="宋体"/>
                <w:sz w:val="24"/>
              </w:rPr>
            </w:pPr>
            <w:r>
              <w:rPr>
                <w:rFonts w:hint="eastAsia" w:ascii="宋体" w:hAnsi="宋体" w:cs="宋体"/>
                <w:sz w:val="24"/>
              </w:rPr>
              <w:t>施工方案与技术措施</w:t>
            </w:r>
          </w:p>
        </w:tc>
        <w:tc>
          <w:tcPr>
            <w:tcW w:w="851" w:type="dxa"/>
            <w:vAlign w:val="center"/>
          </w:tcPr>
          <w:p w14:paraId="73341694">
            <w:pPr>
              <w:ind w:firstLine="28"/>
              <w:jc w:val="center"/>
              <w:rPr>
                <w:rFonts w:ascii="宋体" w:hAnsi="宋体" w:cs="宋体"/>
                <w:sz w:val="24"/>
              </w:rPr>
            </w:pPr>
            <w:r>
              <w:rPr>
                <w:rFonts w:hint="eastAsia" w:ascii="宋体" w:hAnsi="宋体" w:cs="宋体"/>
                <w:sz w:val="24"/>
              </w:rPr>
              <w:t>12</w:t>
            </w:r>
          </w:p>
        </w:tc>
        <w:tc>
          <w:tcPr>
            <w:tcW w:w="6129" w:type="dxa"/>
            <w:vAlign w:val="center"/>
          </w:tcPr>
          <w:p w14:paraId="30531FFB">
            <w:pPr>
              <w:ind w:firstLine="28"/>
              <w:jc w:val="left"/>
              <w:rPr>
                <w:rFonts w:ascii="宋体" w:hAnsi="宋体" w:cs="宋体"/>
                <w:sz w:val="24"/>
              </w:rPr>
            </w:pPr>
            <w:r>
              <w:rPr>
                <w:rFonts w:hint="eastAsia" w:ascii="宋体" w:hAnsi="宋体" w:cs="宋体"/>
                <w:sz w:val="24"/>
              </w:rPr>
              <w:t>施工方案内容全面、科学、有针对性，重、难点突出，得12分</w:t>
            </w:r>
          </w:p>
          <w:p w14:paraId="7FFEAF87">
            <w:pPr>
              <w:ind w:firstLine="28"/>
              <w:jc w:val="left"/>
              <w:rPr>
                <w:rFonts w:ascii="宋体" w:hAnsi="宋体" w:cs="宋体"/>
                <w:sz w:val="24"/>
              </w:rPr>
            </w:pPr>
            <w:r>
              <w:rPr>
                <w:rFonts w:hint="eastAsia" w:ascii="宋体" w:hAnsi="宋体" w:cs="宋体"/>
                <w:sz w:val="24"/>
              </w:rPr>
              <w:t>施工方案内容较全面、合理可行，能指出重、难点，得9分施工方案基本符合本项目特点，基本合理可行，得6分</w:t>
            </w:r>
          </w:p>
          <w:p w14:paraId="68A0DBF4">
            <w:pPr>
              <w:ind w:firstLine="28"/>
              <w:jc w:val="left"/>
              <w:rPr>
                <w:rFonts w:ascii="宋体" w:hAnsi="宋体" w:cs="宋体"/>
                <w:sz w:val="24"/>
              </w:rPr>
            </w:pPr>
            <w:r>
              <w:rPr>
                <w:rFonts w:hint="eastAsia" w:ascii="宋体" w:hAnsi="宋体" w:cs="宋体"/>
                <w:sz w:val="24"/>
              </w:rPr>
              <w:t>施工方案一般，得3分；</w:t>
            </w:r>
          </w:p>
          <w:p w14:paraId="7E23210A">
            <w:pPr>
              <w:ind w:firstLine="28"/>
              <w:jc w:val="left"/>
              <w:rPr>
                <w:rFonts w:ascii="宋体" w:hAnsi="宋体" w:cs="宋体"/>
                <w:sz w:val="24"/>
              </w:rPr>
            </w:pPr>
            <w:r>
              <w:rPr>
                <w:rFonts w:hint="eastAsia" w:ascii="宋体" w:hAnsi="宋体" w:cs="宋体"/>
                <w:sz w:val="24"/>
              </w:rPr>
              <w:t>施工方案混乱，不适用本项目或无方案，得0分</w:t>
            </w:r>
          </w:p>
        </w:tc>
      </w:tr>
      <w:tr w14:paraId="3CE5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17" w:type="dxa"/>
            <w:vAlign w:val="center"/>
          </w:tcPr>
          <w:p w14:paraId="155FCF48">
            <w:pPr>
              <w:pStyle w:val="272"/>
              <w:numPr>
                <w:ilvl w:val="0"/>
                <w:numId w:val="19"/>
              </w:numPr>
              <w:ind w:firstLineChars="0"/>
              <w:jc w:val="center"/>
              <w:rPr>
                <w:rFonts w:ascii="宋体" w:hAnsi="宋体" w:cs="宋体"/>
                <w:sz w:val="24"/>
              </w:rPr>
            </w:pPr>
          </w:p>
        </w:tc>
        <w:tc>
          <w:tcPr>
            <w:tcW w:w="1701" w:type="dxa"/>
            <w:vAlign w:val="center"/>
          </w:tcPr>
          <w:p w14:paraId="179FC504">
            <w:pPr>
              <w:ind w:firstLine="28"/>
              <w:jc w:val="center"/>
              <w:rPr>
                <w:rFonts w:ascii="宋体" w:hAnsi="宋体" w:cs="宋体"/>
                <w:sz w:val="24"/>
              </w:rPr>
            </w:pPr>
            <w:r>
              <w:rPr>
                <w:rFonts w:hint="eastAsia" w:ascii="宋体" w:hAnsi="宋体" w:cs="宋体"/>
                <w:sz w:val="24"/>
              </w:rPr>
              <w:t>工程进度计划与保证措施</w:t>
            </w:r>
          </w:p>
        </w:tc>
        <w:tc>
          <w:tcPr>
            <w:tcW w:w="851" w:type="dxa"/>
            <w:vAlign w:val="center"/>
          </w:tcPr>
          <w:p w14:paraId="6755E558">
            <w:pPr>
              <w:ind w:firstLine="28"/>
              <w:jc w:val="center"/>
              <w:rPr>
                <w:rFonts w:ascii="宋体" w:hAnsi="宋体" w:cs="宋体"/>
                <w:sz w:val="24"/>
              </w:rPr>
            </w:pPr>
            <w:r>
              <w:rPr>
                <w:rFonts w:hint="eastAsia" w:ascii="宋体" w:hAnsi="宋体" w:cs="宋体"/>
                <w:sz w:val="24"/>
              </w:rPr>
              <w:t>12</w:t>
            </w:r>
          </w:p>
        </w:tc>
        <w:tc>
          <w:tcPr>
            <w:tcW w:w="6129" w:type="dxa"/>
            <w:vAlign w:val="center"/>
          </w:tcPr>
          <w:p w14:paraId="6CFF2F3E">
            <w:pPr>
              <w:ind w:firstLine="28"/>
              <w:jc w:val="left"/>
              <w:rPr>
                <w:rFonts w:ascii="宋体" w:hAnsi="宋体" w:cs="宋体"/>
                <w:sz w:val="24"/>
              </w:rPr>
            </w:pPr>
            <w:r>
              <w:rPr>
                <w:rFonts w:hint="eastAsia" w:ascii="宋体" w:hAnsi="宋体" w:cs="宋体"/>
                <w:sz w:val="24"/>
              </w:rPr>
              <w:t>科学、可行、针对性强，得12分</w:t>
            </w:r>
          </w:p>
          <w:p w14:paraId="1F62D491">
            <w:pPr>
              <w:ind w:firstLine="28"/>
              <w:jc w:val="left"/>
              <w:rPr>
                <w:rFonts w:ascii="宋体" w:hAnsi="宋体" w:cs="宋体"/>
                <w:sz w:val="24"/>
              </w:rPr>
            </w:pPr>
            <w:r>
              <w:rPr>
                <w:rFonts w:hint="eastAsia" w:ascii="宋体" w:hAnsi="宋体" w:cs="宋体"/>
                <w:sz w:val="24"/>
              </w:rPr>
              <w:t>合理、可行、细节待完善，得9分</w:t>
            </w:r>
          </w:p>
          <w:p w14:paraId="0FEF488A">
            <w:pPr>
              <w:ind w:firstLine="28"/>
              <w:jc w:val="left"/>
              <w:rPr>
                <w:rFonts w:ascii="宋体" w:hAnsi="宋体" w:cs="宋体"/>
                <w:sz w:val="24"/>
              </w:rPr>
            </w:pPr>
            <w:r>
              <w:rPr>
                <w:rFonts w:hint="eastAsia" w:ascii="宋体" w:hAnsi="宋体" w:cs="宋体"/>
                <w:sz w:val="24"/>
              </w:rPr>
              <w:t>基本符合本项目特点，基本合理可行，得6分</w:t>
            </w:r>
          </w:p>
          <w:p w14:paraId="47531389">
            <w:pPr>
              <w:ind w:firstLine="28"/>
              <w:jc w:val="left"/>
              <w:rPr>
                <w:rFonts w:ascii="宋体" w:hAnsi="宋体" w:cs="宋体"/>
                <w:sz w:val="24"/>
              </w:rPr>
            </w:pPr>
            <w:r>
              <w:rPr>
                <w:rFonts w:hint="eastAsia" w:ascii="宋体" w:hAnsi="宋体" w:cs="宋体"/>
                <w:sz w:val="24"/>
              </w:rPr>
              <w:t>欠合理，有缺陷，得3分</w:t>
            </w:r>
          </w:p>
          <w:p w14:paraId="654C5854">
            <w:pPr>
              <w:ind w:firstLine="28"/>
              <w:jc w:val="left"/>
              <w:rPr>
                <w:rFonts w:ascii="宋体" w:hAnsi="宋体" w:cs="宋体"/>
                <w:sz w:val="24"/>
              </w:rPr>
            </w:pPr>
            <w:r>
              <w:rPr>
                <w:rFonts w:hint="eastAsia" w:ascii="宋体" w:hAnsi="宋体" w:cs="宋体"/>
                <w:sz w:val="24"/>
              </w:rPr>
              <w:t>不能满足工程需要或未提供，得0分</w:t>
            </w:r>
          </w:p>
        </w:tc>
      </w:tr>
      <w:tr w14:paraId="3A9A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17" w:type="dxa"/>
            <w:vAlign w:val="center"/>
          </w:tcPr>
          <w:p w14:paraId="2C79A3DF">
            <w:pPr>
              <w:pStyle w:val="272"/>
              <w:numPr>
                <w:ilvl w:val="0"/>
                <w:numId w:val="19"/>
              </w:numPr>
              <w:ind w:firstLineChars="0"/>
              <w:jc w:val="center"/>
              <w:rPr>
                <w:rFonts w:ascii="宋体" w:hAnsi="宋体" w:cs="宋体"/>
                <w:sz w:val="24"/>
              </w:rPr>
            </w:pPr>
          </w:p>
        </w:tc>
        <w:tc>
          <w:tcPr>
            <w:tcW w:w="1701" w:type="dxa"/>
            <w:vAlign w:val="center"/>
          </w:tcPr>
          <w:p w14:paraId="51905DCE">
            <w:pPr>
              <w:ind w:firstLine="28"/>
              <w:jc w:val="center"/>
              <w:rPr>
                <w:rFonts w:ascii="宋体" w:hAnsi="宋体" w:cs="宋体"/>
                <w:sz w:val="24"/>
              </w:rPr>
            </w:pPr>
            <w:r>
              <w:rPr>
                <w:rFonts w:hint="eastAsia" w:ascii="宋体" w:hAnsi="宋体" w:cs="宋体"/>
                <w:sz w:val="24"/>
              </w:rPr>
              <w:t>质量管理体系与保证措施</w:t>
            </w:r>
          </w:p>
        </w:tc>
        <w:tc>
          <w:tcPr>
            <w:tcW w:w="851" w:type="dxa"/>
            <w:vAlign w:val="center"/>
          </w:tcPr>
          <w:p w14:paraId="2A6B7FBA">
            <w:pPr>
              <w:ind w:firstLine="28"/>
              <w:jc w:val="center"/>
              <w:rPr>
                <w:rFonts w:ascii="宋体" w:hAnsi="宋体" w:cs="宋体"/>
                <w:sz w:val="24"/>
              </w:rPr>
            </w:pPr>
            <w:r>
              <w:rPr>
                <w:rFonts w:hint="eastAsia" w:ascii="宋体" w:hAnsi="宋体" w:cs="宋体"/>
                <w:sz w:val="24"/>
              </w:rPr>
              <w:t>9</w:t>
            </w:r>
          </w:p>
        </w:tc>
        <w:tc>
          <w:tcPr>
            <w:tcW w:w="6129" w:type="dxa"/>
            <w:vAlign w:val="center"/>
          </w:tcPr>
          <w:p w14:paraId="790FDEE1">
            <w:pPr>
              <w:ind w:firstLine="28"/>
              <w:jc w:val="left"/>
              <w:rPr>
                <w:rFonts w:ascii="宋体" w:hAnsi="宋体" w:cs="宋体"/>
                <w:sz w:val="24"/>
              </w:rPr>
            </w:pPr>
            <w:r>
              <w:rPr>
                <w:rFonts w:hint="eastAsia" w:ascii="宋体" w:hAnsi="宋体" w:cs="宋体"/>
                <w:sz w:val="24"/>
              </w:rPr>
              <w:t>保证体系完整，措施有力，针对性强，得9分</w:t>
            </w:r>
          </w:p>
          <w:p w14:paraId="70E6558C">
            <w:pPr>
              <w:ind w:firstLine="28"/>
              <w:jc w:val="left"/>
              <w:rPr>
                <w:rFonts w:ascii="宋体" w:hAnsi="宋体" w:cs="宋体"/>
                <w:sz w:val="24"/>
              </w:rPr>
            </w:pPr>
            <w:r>
              <w:rPr>
                <w:rFonts w:hint="eastAsia" w:ascii="宋体" w:hAnsi="宋体" w:cs="宋体"/>
                <w:sz w:val="24"/>
              </w:rPr>
              <w:t>保证体系较完整，措施一般，细节待完善，得6分</w:t>
            </w:r>
          </w:p>
          <w:p w14:paraId="4F6CC6C8">
            <w:pPr>
              <w:ind w:firstLine="28"/>
              <w:jc w:val="left"/>
              <w:rPr>
                <w:rFonts w:ascii="宋体" w:hAnsi="宋体" w:cs="宋体"/>
                <w:sz w:val="24"/>
              </w:rPr>
            </w:pPr>
            <w:r>
              <w:rPr>
                <w:rFonts w:hint="eastAsia" w:ascii="宋体" w:hAnsi="宋体" w:cs="宋体"/>
                <w:sz w:val="24"/>
              </w:rPr>
              <w:t>保证体系欠合理，基本满足工程需要，得3分</w:t>
            </w:r>
          </w:p>
          <w:p w14:paraId="1B12C84A">
            <w:pPr>
              <w:jc w:val="left"/>
              <w:rPr>
                <w:rFonts w:ascii="宋体" w:hAnsi="宋体" w:cs="宋体"/>
                <w:b/>
                <w:sz w:val="24"/>
              </w:rPr>
            </w:pPr>
            <w:r>
              <w:rPr>
                <w:rFonts w:hint="eastAsia" w:ascii="宋体" w:hAnsi="宋体" w:cs="宋体"/>
                <w:sz w:val="24"/>
              </w:rPr>
              <w:t>保证体系不合理或无保证体系，得0分</w:t>
            </w:r>
          </w:p>
        </w:tc>
      </w:tr>
      <w:tr w14:paraId="0C32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17" w:type="dxa"/>
            <w:vAlign w:val="center"/>
          </w:tcPr>
          <w:p w14:paraId="56077837">
            <w:pPr>
              <w:pStyle w:val="272"/>
              <w:numPr>
                <w:ilvl w:val="0"/>
                <w:numId w:val="19"/>
              </w:numPr>
              <w:ind w:firstLineChars="0"/>
              <w:jc w:val="center"/>
              <w:rPr>
                <w:rFonts w:ascii="宋体" w:hAnsi="宋体" w:cs="宋体"/>
                <w:sz w:val="24"/>
              </w:rPr>
            </w:pPr>
          </w:p>
        </w:tc>
        <w:tc>
          <w:tcPr>
            <w:tcW w:w="1701" w:type="dxa"/>
            <w:vAlign w:val="center"/>
          </w:tcPr>
          <w:p w14:paraId="779BCB2A">
            <w:pPr>
              <w:ind w:firstLine="28"/>
              <w:jc w:val="center"/>
              <w:rPr>
                <w:rFonts w:ascii="宋体" w:hAnsi="宋体" w:cs="宋体"/>
                <w:sz w:val="24"/>
              </w:rPr>
            </w:pPr>
            <w:r>
              <w:rPr>
                <w:rFonts w:hint="eastAsia" w:ascii="宋体" w:hAnsi="宋体" w:cs="宋体"/>
                <w:sz w:val="24"/>
              </w:rPr>
              <w:t>安全和绿色施工保障措施</w:t>
            </w:r>
          </w:p>
        </w:tc>
        <w:tc>
          <w:tcPr>
            <w:tcW w:w="851" w:type="dxa"/>
            <w:vAlign w:val="center"/>
          </w:tcPr>
          <w:p w14:paraId="2ECE0DC2">
            <w:pPr>
              <w:ind w:firstLine="28"/>
              <w:jc w:val="center"/>
              <w:rPr>
                <w:rFonts w:ascii="宋体" w:hAnsi="宋体" w:cs="宋体"/>
                <w:sz w:val="24"/>
              </w:rPr>
            </w:pPr>
            <w:r>
              <w:rPr>
                <w:rFonts w:hint="eastAsia" w:ascii="宋体" w:hAnsi="宋体" w:cs="宋体"/>
                <w:sz w:val="24"/>
              </w:rPr>
              <w:t>9</w:t>
            </w:r>
          </w:p>
        </w:tc>
        <w:tc>
          <w:tcPr>
            <w:tcW w:w="6129" w:type="dxa"/>
            <w:vAlign w:val="center"/>
          </w:tcPr>
          <w:p w14:paraId="31F29CED">
            <w:pPr>
              <w:ind w:firstLine="28"/>
              <w:jc w:val="left"/>
              <w:rPr>
                <w:rFonts w:ascii="宋体" w:hAnsi="宋体" w:cs="宋体"/>
                <w:sz w:val="24"/>
              </w:rPr>
            </w:pPr>
            <w:r>
              <w:rPr>
                <w:rFonts w:hint="eastAsia" w:ascii="宋体" w:hAnsi="宋体" w:cs="宋体"/>
                <w:sz w:val="24"/>
              </w:rPr>
              <w:t>科学、可行、针对性强，得9分</w:t>
            </w:r>
          </w:p>
          <w:p w14:paraId="437AF495">
            <w:pPr>
              <w:ind w:firstLine="28"/>
              <w:jc w:val="left"/>
              <w:rPr>
                <w:rFonts w:ascii="宋体" w:hAnsi="宋体" w:cs="宋体"/>
                <w:sz w:val="24"/>
              </w:rPr>
            </w:pPr>
            <w:r>
              <w:rPr>
                <w:rFonts w:hint="eastAsia" w:ascii="宋体" w:hAnsi="宋体" w:cs="宋体"/>
                <w:sz w:val="24"/>
              </w:rPr>
              <w:t>合理、可行、细节待完善，得6分</w:t>
            </w:r>
          </w:p>
          <w:p w14:paraId="5F05D2B7">
            <w:pPr>
              <w:ind w:firstLine="28"/>
              <w:jc w:val="left"/>
              <w:rPr>
                <w:rFonts w:ascii="宋体" w:hAnsi="宋体" w:cs="宋体"/>
                <w:sz w:val="24"/>
              </w:rPr>
            </w:pPr>
            <w:r>
              <w:rPr>
                <w:rFonts w:hint="eastAsia" w:ascii="宋体" w:hAnsi="宋体" w:cs="宋体"/>
                <w:sz w:val="24"/>
              </w:rPr>
              <w:t>欠合理，基本满足工程需要，得3分</w:t>
            </w:r>
          </w:p>
          <w:p w14:paraId="7D71A778">
            <w:pPr>
              <w:ind w:firstLine="28"/>
              <w:jc w:val="left"/>
              <w:rPr>
                <w:rFonts w:ascii="宋体" w:hAnsi="宋体" w:cs="宋体"/>
                <w:b/>
                <w:sz w:val="24"/>
              </w:rPr>
            </w:pPr>
            <w:r>
              <w:rPr>
                <w:rFonts w:hint="eastAsia" w:ascii="宋体" w:hAnsi="宋体" w:cs="宋体"/>
                <w:sz w:val="24"/>
              </w:rPr>
              <w:t>不能满足工程需要或未提供，得0分</w:t>
            </w:r>
          </w:p>
        </w:tc>
      </w:tr>
      <w:tr w14:paraId="7BA7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17" w:type="dxa"/>
            <w:vAlign w:val="center"/>
          </w:tcPr>
          <w:p w14:paraId="543CA72A">
            <w:pPr>
              <w:pStyle w:val="272"/>
              <w:numPr>
                <w:ilvl w:val="0"/>
                <w:numId w:val="19"/>
              </w:numPr>
              <w:ind w:firstLineChars="0"/>
              <w:jc w:val="center"/>
              <w:rPr>
                <w:rFonts w:ascii="宋体" w:hAnsi="宋体" w:cs="宋体"/>
                <w:sz w:val="24"/>
              </w:rPr>
            </w:pPr>
          </w:p>
        </w:tc>
        <w:tc>
          <w:tcPr>
            <w:tcW w:w="1701" w:type="dxa"/>
            <w:vAlign w:val="center"/>
          </w:tcPr>
          <w:p w14:paraId="35E5D8B7">
            <w:pPr>
              <w:ind w:firstLine="28"/>
              <w:jc w:val="center"/>
              <w:rPr>
                <w:rFonts w:ascii="宋体" w:hAnsi="宋体" w:cs="宋体"/>
                <w:sz w:val="24"/>
              </w:rPr>
            </w:pPr>
            <w:r>
              <w:rPr>
                <w:rFonts w:hint="eastAsia" w:ascii="宋体" w:hAnsi="宋体" w:cs="宋体"/>
                <w:sz w:val="24"/>
              </w:rPr>
              <w:t>紧急、突发事件的处理方案和措施</w:t>
            </w:r>
          </w:p>
        </w:tc>
        <w:tc>
          <w:tcPr>
            <w:tcW w:w="851" w:type="dxa"/>
            <w:vAlign w:val="center"/>
          </w:tcPr>
          <w:p w14:paraId="4DB7B1E2">
            <w:pPr>
              <w:ind w:firstLine="28"/>
              <w:jc w:val="center"/>
              <w:rPr>
                <w:rFonts w:ascii="宋体" w:hAnsi="宋体" w:cs="宋体"/>
                <w:sz w:val="24"/>
              </w:rPr>
            </w:pPr>
            <w:r>
              <w:rPr>
                <w:rFonts w:hint="eastAsia" w:ascii="宋体" w:hAnsi="宋体" w:cs="宋体"/>
                <w:sz w:val="24"/>
              </w:rPr>
              <w:t>5</w:t>
            </w:r>
          </w:p>
        </w:tc>
        <w:tc>
          <w:tcPr>
            <w:tcW w:w="6129" w:type="dxa"/>
            <w:vAlign w:val="center"/>
          </w:tcPr>
          <w:p w14:paraId="1B2FF6EE">
            <w:pPr>
              <w:ind w:firstLine="28"/>
              <w:jc w:val="left"/>
              <w:rPr>
                <w:rFonts w:ascii="宋体" w:hAnsi="宋体" w:cs="宋体"/>
                <w:sz w:val="24"/>
              </w:rPr>
            </w:pPr>
            <w:r>
              <w:rPr>
                <w:rFonts w:hint="eastAsia" w:ascii="宋体" w:hAnsi="宋体" w:cs="宋体"/>
                <w:sz w:val="24"/>
              </w:rPr>
              <w:t>措施完善、科学、合理，针对性强，得5分</w:t>
            </w:r>
          </w:p>
          <w:p w14:paraId="1A20DB69">
            <w:pPr>
              <w:ind w:firstLine="28"/>
              <w:jc w:val="left"/>
              <w:rPr>
                <w:rFonts w:ascii="宋体" w:hAnsi="宋体" w:cs="宋体"/>
                <w:sz w:val="24"/>
              </w:rPr>
            </w:pPr>
            <w:r>
              <w:rPr>
                <w:rFonts w:hint="eastAsia" w:ascii="宋体" w:hAnsi="宋体" w:cs="宋体"/>
                <w:sz w:val="24"/>
              </w:rPr>
              <w:t xml:space="preserve">措施较完善，能满足服务要求，得3分      </w:t>
            </w:r>
          </w:p>
          <w:p w14:paraId="798E018A">
            <w:pPr>
              <w:ind w:firstLine="28"/>
              <w:jc w:val="left"/>
              <w:rPr>
                <w:rFonts w:ascii="宋体" w:hAnsi="宋体" w:cs="宋体"/>
                <w:sz w:val="24"/>
              </w:rPr>
            </w:pPr>
            <w:r>
              <w:rPr>
                <w:rFonts w:hint="eastAsia" w:ascii="宋体" w:hAnsi="宋体" w:cs="宋体"/>
                <w:sz w:val="24"/>
              </w:rPr>
              <w:t>措施单一、基本可行，基本满足要求，得1分</w:t>
            </w:r>
          </w:p>
          <w:p w14:paraId="57DE0664">
            <w:pPr>
              <w:ind w:firstLine="28"/>
              <w:jc w:val="left"/>
              <w:rPr>
                <w:rFonts w:ascii="宋体" w:hAnsi="宋体" w:cs="宋体"/>
                <w:sz w:val="24"/>
              </w:rPr>
            </w:pPr>
            <w:r>
              <w:rPr>
                <w:rFonts w:hint="eastAsia" w:ascii="宋体" w:hAnsi="宋体" w:cs="宋体"/>
                <w:sz w:val="24"/>
              </w:rPr>
              <w:t>不能满足工程需要或未提供，得0分</w:t>
            </w:r>
          </w:p>
        </w:tc>
      </w:tr>
      <w:tr w14:paraId="0C5B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17" w:type="dxa"/>
            <w:vAlign w:val="center"/>
          </w:tcPr>
          <w:p w14:paraId="0CB646BF">
            <w:pPr>
              <w:pStyle w:val="272"/>
              <w:numPr>
                <w:ilvl w:val="0"/>
                <w:numId w:val="19"/>
              </w:numPr>
              <w:ind w:firstLineChars="0"/>
              <w:jc w:val="center"/>
              <w:rPr>
                <w:rFonts w:ascii="宋体" w:hAnsi="宋体" w:cs="宋体"/>
                <w:sz w:val="24"/>
              </w:rPr>
            </w:pPr>
          </w:p>
        </w:tc>
        <w:tc>
          <w:tcPr>
            <w:tcW w:w="1701" w:type="dxa"/>
            <w:vAlign w:val="center"/>
          </w:tcPr>
          <w:p w14:paraId="47C4C848">
            <w:pPr>
              <w:ind w:firstLine="28"/>
              <w:jc w:val="center"/>
              <w:rPr>
                <w:rFonts w:ascii="宋体" w:hAnsi="宋体" w:cs="宋体"/>
                <w:sz w:val="24"/>
              </w:rPr>
            </w:pPr>
            <w:r>
              <w:rPr>
                <w:rFonts w:hint="eastAsia" w:ascii="宋体" w:hAnsi="宋体" w:cs="宋体"/>
                <w:sz w:val="24"/>
              </w:rPr>
              <w:t>后续服务措施</w:t>
            </w:r>
          </w:p>
        </w:tc>
        <w:tc>
          <w:tcPr>
            <w:tcW w:w="851" w:type="dxa"/>
            <w:vAlign w:val="center"/>
          </w:tcPr>
          <w:p w14:paraId="63444327">
            <w:pPr>
              <w:ind w:firstLine="28"/>
              <w:jc w:val="center"/>
              <w:rPr>
                <w:rFonts w:ascii="宋体" w:hAnsi="宋体" w:cs="宋体"/>
                <w:sz w:val="24"/>
              </w:rPr>
            </w:pPr>
            <w:r>
              <w:rPr>
                <w:rFonts w:hint="eastAsia" w:ascii="宋体" w:hAnsi="宋体" w:cs="宋体"/>
                <w:sz w:val="24"/>
              </w:rPr>
              <w:t>5</w:t>
            </w:r>
          </w:p>
        </w:tc>
        <w:tc>
          <w:tcPr>
            <w:tcW w:w="6129" w:type="dxa"/>
            <w:vAlign w:val="center"/>
          </w:tcPr>
          <w:p w14:paraId="4DC2027B">
            <w:pPr>
              <w:ind w:firstLine="28"/>
              <w:jc w:val="left"/>
              <w:rPr>
                <w:rFonts w:ascii="宋体" w:hAnsi="宋体" w:cs="宋体"/>
                <w:sz w:val="24"/>
              </w:rPr>
            </w:pPr>
            <w:r>
              <w:rPr>
                <w:rFonts w:hint="eastAsia" w:ascii="宋体" w:hAnsi="宋体" w:cs="宋体"/>
                <w:sz w:val="24"/>
              </w:rPr>
              <w:t>措施完善、科学、合理，能更好的为采购人服务，得5分</w:t>
            </w:r>
          </w:p>
          <w:p w14:paraId="26E60E4A">
            <w:pPr>
              <w:ind w:firstLine="28"/>
              <w:jc w:val="left"/>
              <w:rPr>
                <w:rFonts w:ascii="宋体" w:hAnsi="宋体" w:cs="宋体"/>
                <w:sz w:val="24"/>
              </w:rPr>
            </w:pPr>
            <w:r>
              <w:rPr>
                <w:rFonts w:hint="eastAsia" w:ascii="宋体" w:hAnsi="宋体" w:cs="宋体"/>
                <w:sz w:val="24"/>
              </w:rPr>
              <w:t xml:space="preserve">措施较完善，能满足后期服务要求，得3分      </w:t>
            </w:r>
          </w:p>
          <w:p w14:paraId="62BEEC0C">
            <w:pPr>
              <w:ind w:firstLine="28"/>
              <w:jc w:val="left"/>
              <w:rPr>
                <w:rFonts w:ascii="宋体" w:hAnsi="宋体" w:cs="宋体"/>
                <w:sz w:val="24"/>
              </w:rPr>
            </w:pPr>
            <w:r>
              <w:rPr>
                <w:rFonts w:hint="eastAsia" w:ascii="宋体" w:hAnsi="宋体" w:cs="宋体"/>
                <w:sz w:val="24"/>
              </w:rPr>
              <w:t>措施单一、基本可行，基本满足要求，得1分</w:t>
            </w:r>
          </w:p>
          <w:p w14:paraId="4CD11692">
            <w:pPr>
              <w:ind w:firstLine="28"/>
              <w:jc w:val="left"/>
              <w:rPr>
                <w:rFonts w:ascii="宋体" w:hAnsi="宋体" w:cs="宋体"/>
                <w:sz w:val="24"/>
              </w:rPr>
            </w:pPr>
            <w:r>
              <w:rPr>
                <w:rFonts w:hint="eastAsia" w:ascii="宋体" w:hAnsi="宋体" w:cs="宋体"/>
                <w:sz w:val="24"/>
              </w:rPr>
              <w:t>不能满足工程需要或未提供，得0分</w:t>
            </w:r>
          </w:p>
        </w:tc>
      </w:tr>
      <w:tr w14:paraId="3830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18" w:type="dxa"/>
            <w:gridSpan w:val="2"/>
            <w:vAlign w:val="center"/>
          </w:tcPr>
          <w:p w14:paraId="18438AC9">
            <w:pPr>
              <w:ind w:firstLine="28"/>
              <w:jc w:val="center"/>
              <w:rPr>
                <w:rFonts w:ascii="宋体" w:hAnsi="宋体" w:cs="宋体"/>
                <w:sz w:val="24"/>
              </w:rPr>
            </w:pPr>
            <w:r>
              <w:rPr>
                <w:rFonts w:hint="eastAsia" w:ascii="宋体" w:hAnsi="宋体" w:cs="宋体"/>
                <w:sz w:val="24"/>
              </w:rPr>
              <w:t>合计</w:t>
            </w:r>
          </w:p>
        </w:tc>
        <w:tc>
          <w:tcPr>
            <w:tcW w:w="6980" w:type="dxa"/>
            <w:gridSpan w:val="2"/>
            <w:vAlign w:val="center"/>
          </w:tcPr>
          <w:p w14:paraId="72300B58">
            <w:pPr>
              <w:jc w:val="left"/>
              <w:rPr>
                <w:rFonts w:ascii="宋体" w:hAnsi="宋体" w:cs="宋体"/>
                <w:sz w:val="24"/>
              </w:rPr>
            </w:pPr>
            <w:r>
              <w:rPr>
                <w:rFonts w:hint="eastAsia" w:ascii="宋体" w:hAnsi="宋体" w:cs="宋体"/>
                <w:sz w:val="24"/>
              </w:rPr>
              <w:t>52分</w:t>
            </w:r>
          </w:p>
        </w:tc>
      </w:tr>
    </w:tbl>
    <w:p w14:paraId="2CA27051">
      <w:pPr>
        <w:tabs>
          <w:tab w:val="left" w:pos="360"/>
          <w:tab w:val="left" w:pos="1080"/>
        </w:tabs>
        <w:snapToGrid w:val="0"/>
        <w:spacing w:line="360" w:lineRule="auto"/>
        <w:rPr>
          <w:rFonts w:ascii="宋体" w:hAnsi="宋体"/>
          <w:sz w:val="24"/>
        </w:rPr>
      </w:pPr>
    </w:p>
    <w:p w14:paraId="6EBBA7CB">
      <w:pPr>
        <w:tabs>
          <w:tab w:val="left" w:pos="360"/>
          <w:tab w:val="left" w:pos="1080"/>
        </w:tabs>
        <w:snapToGrid w:val="0"/>
        <w:spacing w:line="360" w:lineRule="auto"/>
        <w:rPr>
          <w:rFonts w:ascii="宋体" w:hAnsi="宋体"/>
          <w:sz w:val="24"/>
        </w:rPr>
      </w:pPr>
      <w:r>
        <w:rPr>
          <w:rFonts w:hint="eastAsia" w:ascii="宋体" w:hAnsi="宋体"/>
          <w:sz w:val="24"/>
        </w:rPr>
        <w:t>注：1）评分精确到小数点后二位。</w:t>
      </w:r>
    </w:p>
    <w:p w14:paraId="302104D1">
      <w:pPr>
        <w:spacing w:line="360" w:lineRule="auto"/>
        <w:jc w:val="center"/>
        <w:outlineLvl w:val="0"/>
        <w:rPr>
          <w:rFonts w:ascii="宋体" w:hAnsi="宋体"/>
          <w:b/>
          <w:sz w:val="36"/>
          <w:szCs w:val="36"/>
        </w:rPr>
      </w:pPr>
      <w:r>
        <w:rPr>
          <w:rFonts w:ascii="宋体" w:hAnsi="宋体"/>
          <w:b/>
          <w:sz w:val="36"/>
          <w:szCs w:val="36"/>
        </w:rPr>
        <w:br w:type="page"/>
      </w:r>
      <w:bookmarkStart w:id="686" w:name="_Toc97371945"/>
      <w:r>
        <w:rPr>
          <w:rFonts w:ascii="宋体" w:hAnsi="宋体"/>
          <w:b/>
          <w:sz w:val="36"/>
          <w:szCs w:val="36"/>
        </w:rPr>
        <w:t>第四章   采购需求</w:t>
      </w:r>
      <w:bookmarkEnd w:id="686"/>
    </w:p>
    <w:p w14:paraId="7DC29951">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 xml:space="preserve">现场条件和周围环境 </w:t>
      </w:r>
    </w:p>
    <w:p w14:paraId="2D80BF00">
      <w:pPr>
        <w:spacing w:line="360" w:lineRule="auto"/>
        <w:contextualSpacing/>
        <w:rPr>
          <w:rFonts w:ascii="宋体" w:hAnsi="宋体"/>
          <w:sz w:val="24"/>
        </w:rPr>
      </w:pPr>
      <w:r>
        <w:rPr>
          <w:rFonts w:hint="eastAsia" w:ascii="宋体" w:hAnsi="宋体"/>
          <w:sz w:val="24"/>
        </w:rPr>
        <w:t>1.1 现场的具体地理位置如下：北京市海淀区中关村南四街</w:t>
      </w:r>
      <w:r>
        <w:rPr>
          <w:rFonts w:ascii="宋体" w:hAnsi="宋体"/>
          <w:sz w:val="24"/>
        </w:rPr>
        <w:t>4</w:t>
      </w:r>
      <w:r>
        <w:rPr>
          <w:rFonts w:hint="eastAsia" w:ascii="宋体" w:hAnsi="宋体"/>
          <w:sz w:val="24"/>
        </w:rPr>
        <w:t>号中国科学院软件研究所7号楼</w:t>
      </w:r>
    </w:p>
    <w:p w14:paraId="3F2C1F2B">
      <w:pPr>
        <w:spacing w:line="360" w:lineRule="auto"/>
        <w:contextualSpacing/>
        <w:rPr>
          <w:rFonts w:ascii="宋体" w:hAnsi="宋体"/>
          <w:sz w:val="24"/>
        </w:rPr>
      </w:pPr>
      <w:r>
        <w:rPr>
          <w:rFonts w:hint="eastAsia" w:ascii="宋体" w:hAnsi="宋体"/>
          <w:sz w:val="24"/>
        </w:rPr>
        <w:t xml:space="preserve">1.2 施工现场临时供水管径：满足施工需求 </w:t>
      </w:r>
    </w:p>
    <w:p w14:paraId="1AB488FE">
      <w:pPr>
        <w:spacing w:line="360" w:lineRule="auto"/>
        <w:contextualSpacing/>
        <w:rPr>
          <w:rFonts w:ascii="宋体" w:hAnsi="宋体"/>
          <w:sz w:val="24"/>
        </w:rPr>
      </w:pPr>
      <w:r>
        <w:rPr>
          <w:rFonts w:hint="eastAsia" w:ascii="宋体" w:hAnsi="宋体"/>
          <w:sz w:val="24"/>
        </w:rPr>
        <w:t xml:space="preserve">1.3 施工现场临时供电容量（变压器输出功率）：满足施工需求 </w:t>
      </w:r>
    </w:p>
    <w:p w14:paraId="1AF83FFB">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 xml:space="preserve">工程内容 </w:t>
      </w:r>
    </w:p>
    <w:p w14:paraId="40BB5381">
      <w:pPr>
        <w:spacing w:line="360" w:lineRule="auto"/>
        <w:contextualSpacing/>
        <w:rPr>
          <w:rFonts w:ascii="宋体" w:hAnsi="宋体"/>
          <w:sz w:val="24"/>
        </w:rPr>
      </w:pPr>
      <w:r>
        <w:rPr>
          <w:rFonts w:hint="eastAsia" w:ascii="宋体" w:hAnsi="宋体"/>
          <w:sz w:val="24"/>
        </w:rPr>
        <w:t>2.1 工程内容：包包括但不限图纸范围内的拆除工程、装饰装修工程、电气工程、弱电工程、暖通工程、消防工程等施工图纸范围的全部工程。</w:t>
      </w:r>
    </w:p>
    <w:p w14:paraId="07129991">
      <w:pPr>
        <w:spacing w:line="360" w:lineRule="auto"/>
        <w:contextualSpacing/>
        <w:rPr>
          <w:rFonts w:ascii="宋体" w:hAnsi="宋体"/>
          <w:sz w:val="24"/>
        </w:rPr>
      </w:pPr>
      <w:r>
        <w:rPr>
          <w:rFonts w:hint="eastAsia" w:ascii="宋体" w:hAnsi="宋体"/>
          <w:sz w:val="24"/>
        </w:rPr>
        <w:t>2.2规模：总面积约</w:t>
      </w:r>
      <w:r>
        <w:rPr>
          <w:rFonts w:ascii="宋体" w:hAnsi="宋体"/>
          <w:sz w:val="24"/>
        </w:rPr>
        <w:t>825</w:t>
      </w:r>
      <w:r>
        <w:rPr>
          <w:rFonts w:hint="eastAsia" w:ascii="宋体" w:hAnsi="宋体"/>
          <w:sz w:val="24"/>
        </w:rPr>
        <w:t>平方米，</w:t>
      </w:r>
      <w:r>
        <w:rPr>
          <w:rFonts w:ascii="宋体" w:hAnsi="宋体"/>
          <w:sz w:val="24"/>
        </w:rPr>
        <w:t xml:space="preserve"> </w:t>
      </w:r>
    </w:p>
    <w:p w14:paraId="6D7F551A">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 xml:space="preserve">工期要求 </w:t>
      </w:r>
    </w:p>
    <w:p w14:paraId="48F0AD19">
      <w:pPr>
        <w:spacing w:line="360" w:lineRule="auto"/>
        <w:contextualSpacing/>
        <w:rPr>
          <w:rFonts w:ascii="宋体" w:hAnsi="宋体"/>
          <w:sz w:val="24"/>
        </w:rPr>
      </w:pPr>
      <w:r>
        <w:rPr>
          <w:rFonts w:hint="eastAsia" w:ascii="宋体" w:hAnsi="宋体"/>
          <w:sz w:val="24"/>
        </w:rPr>
        <w:t xml:space="preserve">3.1 对于本工程，采购人要求的工期如下： </w:t>
      </w:r>
    </w:p>
    <w:p w14:paraId="542D6C3A">
      <w:pPr>
        <w:spacing w:line="360" w:lineRule="auto"/>
        <w:contextualSpacing/>
        <w:rPr>
          <w:rFonts w:ascii="宋体" w:hAnsi="宋体"/>
          <w:sz w:val="24"/>
        </w:rPr>
      </w:pPr>
      <w:bookmarkStart w:id="687" w:name="_Hlk172181482"/>
      <w:r>
        <w:rPr>
          <w:rFonts w:hint="eastAsia" w:ascii="宋体" w:hAnsi="宋体" w:cs="宋体"/>
          <w:sz w:val="24"/>
        </w:rPr>
        <w:t>工期：</w:t>
      </w:r>
      <w:r>
        <w:rPr>
          <w:rFonts w:ascii="宋体" w:hAnsi="宋体" w:cs="宋体"/>
          <w:sz w:val="24"/>
        </w:rPr>
        <w:t>30日历天</w:t>
      </w:r>
      <w:r>
        <w:rPr>
          <w:rFonts w:hint="eastAsia" w:ascii="宋体" w:hAnsi="宋体" w:cs="宋体"/>
          <w:sz w:val="24"/>
        </w:rPr>
        <w:t>。计划开工</w:t>
      </w:r>
      <w:r>
        <w:rPr>
          <w:rFonts w:hint="eastAsia" w:ascii="宋体" w:hAnsi="宋体"/>
          <w:sz w:val="24"/>
        </w:rPr>
        <w:t>日期：202</w:t>
      </w:r>
      <w:r>
        <w:rPr>
          <w:rFonts w:ascii="宋体" w:hAnsi="宋体"/>
          <w:sz w:val="24"/>
        </w:rPr>
        <w:t>5</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21</w:t>
      </w:r>
      <w:r>
        <w:rPr>
          <w:rFonts w:hint="eastAsia" w:ascii="宋体" w:hAnsi="宋体"/>
          <w:sz w:val="24"/>
        </w:rPr>
        <w:t>日，计划竣工日期：202</w:t>
      </w:r>
      <w:r>
        <w:rPr>
          <w:rFonts w:ascii="宋体" w:hAnsi="宋体"/>
          <w:sz w:val="24"/>
        </w:rPr>
        <w:t>5</w:t>
      </w:r>
      <w:r>
        <w:rPr>
          <w:rFonts w:hint="eastAsia" w:ascii="宋体" w:hAnsi="宋体"/>
          <w:sz w:val="24"/>
        </w:rPr>
        <w:t>年</w:t>
      </w:r>
      <w:r>
        <w:rPr>
          <w:rFonts w:ascii="宋体" w:hAnsi="宋体"/>
          <w:sz w:val="24"/>
        </w:rPr>
        <w:t>7</w:t>
      </w:r>
      <w:r>
        <w:rPr>
          <w:rFonts w:hint="eastAsia" w:ascii="宋体" w:hAnsi="宋体"/>
          <w:sz w:val="24"/>
        </w:rPr>
        <w:t>月</w:t>
      </w:r>
      <w:r>
        <w:rPr>
          <w:rFonts w:ascii="宋体" w:hAnsi="宋体"/>
          <w:sz w:val="24"/>
        </w:rPr>
        <w:t>21</w:t>
      </w:r>
      <w:r>
        <w:rPr>
          <w:rFonts w:hint="eastAsia" w:ascii="宋体" w:hAnsi="宋体"/>
          <w:sz w:val="24"/>
        </w:rPr>
        <w:t>日。</w:t>
      </w:r>
      <w:bookmarkEnd w:id="687"/>
    </w:p>
    <w:p w14:paraId="6D9DC63C">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 xml:space="preserve">质量及相关要求 </w:t>
      </w:r>
    </w:p>
    <w:p w14:paraId="76ED05DF">
      <w:pPr>
        <w:spacing w:line="360" w:lineRule="auto"/>
        <w:contextualSpacing/>
        <w:rPr>
          <w:rFonts w:ascii="宋体" w:hAnsi="宋体"/>
          <w:sz w:val="24"/>
        </w:rPr>
      </w:pPr>
      <w:r>
        <w:rPr>
          <w:rFonts w:hint="eastAsia" w:ascii="宋体" w:hAnsi="宋体"/>
          <w:sz w:val="24"/>
        </w:rPr>
        <w:t>4.1采购人对本工程质量标准要求：合格</w:t>
      </w:r>
    </w:p>
    <w:p w14:paraId="7E073431">
      <w:pPr>
        <w:spacing w:line="360" w:lineRule="auto"/>
        <w:contextualSpacing/>
        <w:rPr>
          <w:rFonts w:ascii="宋体" w:hAnsi="宋体"/>
          <w:sz w:val="24"/>
        </w:rPr>
      </w:pPr>
      <w:r>
        <w:rPr>
          <w:rFonts w:hint="eastAsia" w:ascii="宋体" w:hAnsi="宋体"/>
          <w:sz w:val="24"/>
        </w:rPr>
        <w:t>4.2施工现场安全生产标准化管理目标等级：达标</w:t>
      </w:r>
    </w:p>
    <w:p w14:paraId="69D0BFAB">
      <w:pPr>
        <w:spacing w:line="360" w:lineRule="auto"/>
        <w:contextualSpacing/>
        <w:rPr>
          <w:rFonts w:ascii="宋体" w:hAnsi="宋体"/>
          <w:sz w:val="24"/>
        </w:rPr>
      </w:pPr>
      <w:r>
        <w:rPr>
          <w:rFonts w:hint="eastAsia" w:ascii="宋体" w:hAnsi="宋体"/>
          <w:sz w:val="24"/>
        </w:rPr>
        <w:sym w:font="Wingdings 2" w:char="F0EA"/>
      </w:r>
      <w:r>
        <w:rPr>
          <w:rFonts w:hint="eastAsia" w:ascii="宋体" w:hAnsi="宋体"/>
          <w:sz w:val="24"/>
        </w:rPr>
        <w:t>4.3承包人需完成</w:t>
      </w:r>
      <w:r>
        <w:rPr>
          <w:rFonts w:ascii="宋体" w:hAnsi="宋体"/>
          <w:sz w:val="24"/>
        </w:rPr>
        <w:t>1</w:t>
      </w:r>
      <w:r>
        <w:rPr>
          <w:rFonts w:hint="eastAsia" w:ascii="宋体" w:hAnsi="宋体"/>
          <w:sz w:val="24"/>
        </w:rPr>
        <w:t>次除甲醛，应在竣工后完成，应在家具进场前完成，且需进行空气检测并取得合格报告。</w:t>
      </w:r>
    </w:p>
    <w:p w14:paraId="52A777F6">
      <w:pPr>
        <w:spacing w:line="360" w:lineRule="auto"/>
        <w:contextualSpacing/>
        <w:rPr>
          <w:rFonts w:ascii="宋体" w:hAnsi="宋体"/>
          <w:sz w:val="24"/>
        </w:rPr>
      </w:pPr>
      <w:r>
        <w:rPr>
          <w:rFonts w:hint="eastAsia" w:ascii="宋体" w:hAnsi="宋体"/>
          <w:sz w:val="24"/>
        </w:rPr>
        <w:sym w:font="Wingdings 2" w:char="F0EA"/>
      </w:r>
      <w:r>
        <w:rPr>
          <w:rFonts w:hint="eastAsia" w:ascii="宋体" w:hAnsi="宋体"/>
          <w:sz w:val="24"/>
        </w:rPr>
        <w:t>4.4承包人在交付使用前应至少完成一次精细保洁。</w:t>
      </w:r>
    </w:p>
    <w:p w14:paraId="756A497D">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 xml:space="preserve">安全文明施工措施及要求 </w:t>
      </w:r>
    </w:p>
    <w:p w14:paraId="09922CD6">
      <w:pPr>
        <w:spacing w:line="360" w:lineRule="auto"/>
        <w:contextualSpacing/>
        <w:rPr>
          <w:rFonts w:ascii="宋体" w:hAnsi="宋体"/>
          <w:sz w:val="24"/>
        </w:rPr>
      </w:pPr>
      <w:r>
        <w:rPr>
          <w:rFonts w:hint="eastAsia" w:ascii="宋体" w:hAnsi="宋体"/>
          <w:sz w:val="24"/>
        </w:rPr>
        <w:t xml:space="preserve">5.1 本工程关于安全文明施工措施的具体要求及措施项目内容如下： </w:t>
      </w:r>
    </w:p>
    <w:p w14:paraId="47CEBAEC">
      <w:pPr>
        <w:spacing w:line="360" w:lineRule="auto"/>
        <w:contextualSpacing/>
        <w:rPr>
          <w:rFonts w:ascii="宋体" w:hAnsi="宋体"/>
          <w:sz w:val="24"/>
        </w:rPr>
      </w:pPr>
      <w:r>
        <w:rPr>
          <w:rFonts w:hint="eastAsia" w:ascii="宋体" w:hAnsi="宋体"/>
          <w:sz w:val="24"/>
        </w:rPr>
        <w:t xml:space="preserve">供应商应按照《北京市建设工程安全文明施工费管理办法》，针对安全生产、文明施工、现场周边环境、消防安全等的措施计取“安全防护、文明施工措施费”，单独列项并计入响应总价。取费费率不得低于文件规定的费率范围，并不得作为让利因素参与竞标。 </w:t>
      </w:r>
    </w:p>
    <w:p w14:paraId="60E5DDE1">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 xml:space="preserve">其他特殊要求 </w:t>
      </w:r>
    </w:p>
    <w:p w14:paraId="250E8C04">
      <w:pPr>
        <w:spacing w:line="360" w:lineRule="auto"/>
        <w:contextualSpacing/>
        <w:rPr>
          <w:rFonts w:ascii="宋体" w:hAnsi="宋体" w:cs="Arial"/>
          <w:sz w:val="24"/>
        </w:rPr>
      </w:pPr>
      <w:r>
        <w:rPr>
          <w:rFonts w:hint="eastAsia" w:ascii="宋体" w:hAnsi="宋体"/>
          <w:sz w:val="24"/>
        </w:rPr>
        <w:t>6.1</w:t>
      </w:r>
      <w:r>
        <w:rPr>
          <w:rFonts w:hint="eastAsia" w:ascii="宋体" w:hAnsi="宋体" w:cs="Arial"/>
          <w:sz w:val="24"/>
        </w:rPr>
        <w:t>承包人自行施工范围内的部分材料和工程设备相关技术要求：</w:t>
      </w:r>
    </w:p>
    <w:tbl>
      <w:tblPr>
        <w:tblStyle w:val="67"/>
        <w:tblW w:w="9580" w:type="dxa"/>
        <w:tblInd w:w="0" w:type="dxa"/>
        <w:tblLayout w:type="autofit"/>
        <w:tblCellMar>
          <w:top w:w="0" w:type="dxa"/>
          <w:left w:w="108" w:type="dxa"/>
          <w:bottom w:w="0" w:type="dxa"/>
          <w:right w:w="108" w:type="dxa"/>
        </w:tblCellMar>
      </w:tblPr>
      <w:tblGrid>
        <w:gridCol w:w="660"/>
        <w:gridCol w:w="2580"/>
        <w:gridCol w:w="2560"/>
        <w:gridCol w:w="3780"/>
      </w:tblGrid>
      <w:tr w14:paraId="5D4D5C93">
        <w:tblPrEx>
          <w:tblCellMar>
            <w:top w:w="0" w:type="dxa"/>
            <w:left w:w="108" w:type="dxa"/>
            <w:bottom w:w="0" w:type="dxa"/>
            <w:right w:w="108" w:type="dxa"/>
          </w:tblCellMar>
        </w:tblPrEx>
        <w:trPr>
          <w:trHeight w:val="799" w:hRule="atLeast"/>
        </w:trPr>
        <w:tc>
          <w:tcPr>
            <w:tcW w:w="95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DDB3F4">
            <w:pPr>
              <w:widowControl/>
              <w:jc w:val="center"/>
              <w:rPr>
                <w:rFonts w:ascii="宋体" w:hAnsi="宋体" w:cs="宋体"/>
                <w:b/>
                <w:bCs/>
                <w:kern w:val="0"/>
                <w:sz w:val="32"/>
                <w:szCs w:val="32"/>
              </w:rPr>
            </w:pPr>
            <w:r>
              <w:rPr>
                <w:rFonts w:hint="eastAsia" w:ascii="宋体" w:hAnsi="宋体" w:cs="宋体"/>
                <w:b/>
                <w:bCs/>
                <w:kern w:val="0"/>
                <w:sz w:val="32"/>
                <w:szCs w:val="32"/>
              </w:rPr>
              <w:t>材料和工程设备参考品牌明细</w:t>
            </w:r>
          </w:p>
        </w:tc>
      </w:tr>
      <w:tr w14:paraId="27720DF4">
        <w:tblPrEx>
          <w:tblCellMar>
            <w:top w:w="0" w:type="dxa"/>
            <w:left w:w="108" w:type="dxa"/>
            <w:bottom w:w="0" w:type="dxa"/>
            <w:right w:w="108" w:type="dxa"/>
          </w:tblCellMar>
        </w:tblPrEx>
        <w:trPr>
          <w:trHeight w:val="522" w:hRule="atLeast"/>
        </w:trPr>
        <w:tc>
          <w:tcPr>
            <w:tcW w:w="95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E5516F">
            <w:pPr>
              <w:widowControl/>
              <w:jc w:val="left"/>
              <w:rPr>
                <w:rFonts w:ascii="宋体" w:hAnsi="宋体" w:cs="宋体"/>
                <w:b/>
                <w:bCs/>
                <w:kern w:val="0"/>
                <w:sz w:val="20"/>
                <w:szCs w:val="20"/>
              </w:rPr>
            </w:pPr>
            <w:r>
              <w:rPr>
                <w:rFonts w:hint="eastAsia" w:ascii="宋体" w:hAnsi="宋体" w:cs="宋体"/>
                <w:b/>
                <w:bCs/>
                <w:kern w:val="0"/>
                <w:sz w:val="20"/>
                <w:szCs w:val="20"/>
              </w:rPr>
              <w:t>注：投标人应参考材料和工程设备所列品牌，采购相当于或高于所列品牌的材料和工程设备。</w:t>
            </w:r>
          </w:p>
        </w:tc>
      </w:tr>
      <w:tr w14:paraId="16FBAAB1">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D8E2294">
            <w:pPr>
              <w:widowControl/>
              <w:jc w:val="center"/>
              <w:rPr>
                <w:rFonts w:ascii="宋体" w:hAnsi="宋体" w:cs="宋体"/>
                <w:kern w:val="0"/>
                <w:sz w:val="24"/>
              </w:rPr>
            </w:pPr>
            <w:r>
              <w:rPr>
                <w:rFonts w:hint="eastAsia" w:ascii="宋体" w:hAnsi="宋体" w:cs="宋体"/>
                <w:kern w:val="0"/>
                <w:sz w:val="24"/>
              </w:rPr>
              <w:t>序号</w:t>
            </w:r>
          </w:p>
        </w:tc>
        <w:tc>
          <w:tcPr>
            <w:tcW w:w="2580" w:type="dxa"/>
            <w:tcBorders>
              <w:top w:val="nil"/>
              <w:left w:val="nil"/>
              <w:bottom w:val="single" w:color="auto" w:sz="4" w:space="0"/>
              <w:right w:val="single" w:color="auto" w:sz="4" w:space="0"/>
            </w:tcBorders>
            <w:shd w:val="clear" w:color="auto" w:fill="auto"/>
            <w:vAlign w:val="center"/>
          </w:tcPr>
          <w:p w14:paraId="30D178E9">
            <w:pPr>
              <w:widowControl/>
              <w:jc w:val="center"/>
              <w:rPr>
                <w:rFonts w:ascii="宋体" w:hAnsi="宋体" w:cs="宋体"/>
                <w:kern w:val="0"/>
                <w:sz w:val="24"/>
              </w:rPr>
            </w:pPr>
            <w:r>
              <w:rPr>
                <w:rFonts w:hint="eastAsia" w:ascii="宋体" w:hAnsi="宋体" w:cs="宋体"/>
                <w:kern w:val="0"/>
                <w:sz w:val="24"/>
              </w:rPr>
              <w:t>名称</w:t>
            </w:r>
          </w:p>
        </w:tc>
        <w:tc>
          <w:tcPr>
            <w:tcW w:w="2560" w:type="dxa"/>
            <w:tcBorders>
              <w:top w:val="nil"/>
              <w:left w:val="nil"/>
              <w:bottom w:val="single" w:color="auto" w:sz="4" w:space="0"/>
              <w:right w:val="single" w:color="auto" w:sz="4" w:space="0"/>
            </w:tcBorders>
            <w:shd w:val="clear" w:color="auto" w:fill="auto"/>
            <w:vAlign w:val="center"/>
          </w:tcPr>
          <w:p w14:paraId="6F1840C2">
            <w:pPr>
              <w:widowControl/>
              <w:jc w:val="center"/>
              <w:rPr>
                <w:rFonts w:ascii="宋体" w:hAnsi="宋体" w:cs="宋体"/>
                <w:kern w:val="0"/>
                <w:sz w:val="24"/>
              </w:rPr>
            </w:pPr>
            <w:r>
              <w:rPr>
                <w:rFonts w:hint="eastAsia" w:ascii="宋体" w:hAnsi="宋体" w:cs="宋体"/>
                <w:kern w:val="0"/>
                <w:sz w:val="24"/>
              </w:rPr>
              <w:t>使用区域</w:t>
            </w:r>
          </w:p>
        </w:tc>
        <w:tc>
          <w:tcPr>
            <w:tcW w:w="3780" w:type="dxa"/>
            <w:tcBorders>
              <w:top w:val="nil"/>
              <w:left w:val="nil"/>
              <w:bottom w:val="single" w:color="auto" w:sz="4" w:space="0"/>
              <w:right w:val="single" w:color="auto" w:sz="4" w:space="0"/>
            </w:tcBorders>
            <w:shd w:val="clear" w:color="auto" w:fill="auto"/>
            <w:vAlign w:val="center"/>
          </w:tcPr>
          <w:p w14:paraId="10794293">
            <w:pPr>
              <w:widowControl/>
              <w:jc w:val="center"/>
              <w:rPr>
                <w:rFonts w:ascii="宋体" w:hAnsi="宋体" w:cs="宋体"/>
                <w:kern w:val="0"/>
                <w:sz w:val="24"/>
              </w:rPr>
            </w:pPr>
            <w:r>
              <w:rPr>
                <w:rFonts w:hint="eastAsia" w:ascii="宋体" w:hAnsi="宋体" w:cs="宋体"/>
                <w:kern w:val="0"/>
                <w:sz w:val="24"/>
              </w:rPr>
              <w:t>参考品牌</w:t>
            </w:r>
          </w:p>
        </w:tc>
      </w:tr>
      <w:tr w14:paraId="18D21A08">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FCFFEFF">
            <w:pPr>
              <w:widowControl/>
              <w:jc w:val="center"/>
              <w:rPr>
                <w:rFonts w:ascii="宋体" w:hAnsi="宋体" w:cs="宋体"/>
                <w:kern w:val="0"/>
                <w:sz w:val="24"/>
              </w:rPr>
            </w:pPr>
            <w:r>
              <w:rPr>
                <w:rFonts w:hint="eastAsia" w:ascii="宋体" w:hAnsi="宋体" w:cs="宋体"/>
                <w:kern w:val="0"/>
                <w:sz w:val="24"/>
              </w:rPr>
              <w:t>1</w:t>
            </w:r>
          </w:p>
        </w:tc>
        <w:tc>
          <w:tcPr>
            <w:tcW w:w="2580" w:type="dxa"/>
            <w:tcBorders>
              <w:top w:val="nil"/>
              <w:left w:val="nil"/>
              <w:bottom w:val="single" w:color="auto" w:sz="4" w:space="0"/>
              <w:right w:val="single" w:color="auto" w:sz="4" w:space="0"/>
            </w:tcBorders>
            <w:shd w:val="clear" w:color="auto" w:fill="auto"/>
            <w:vAlign w:val="center"/>
          </w:tcPr>
          <w:p w14:paraId="79766D67">
            <w:pPr>
              <w:widowControl/>
              <w:jc w:val="center"/>
              <w:rPr>
                <w:rFonts w:ascii="宋体" w:hAnsi="宋体" w:cs="宋体"/>
                <w:kern w:val="0"/>
                <w:sz w:val="24"/>
              </w:rPr>
            </w:pPr>
            <w:r>
              <w:rPr>
                <w:rFonts w:hint="eastAsia" w:ascii="宋体" w:hAnsi="宋体" w:cs="宋体"/>
                <w:kern w:val="0"/>
                <w:sz w:val="24"/>
              </w:rPr>
              <w:t>腻子粉</w:t>
            </w:r>
          </w:p>
        </w:tc>
        <w:tc>
          <w:tcPr>
            <w:tcW w:w="2560" w:type="dxa"/>
            <w:tcBorders>
              <w:top w:val="nil"/>
              <w:left w:val="nil"/>
              <w:bottom w:val="single" w:color="auto" w:sz="4" w:space="0"/>
              <w:right w:val="single" w:color="auto" w:sz="4" w:space="0"/>
            </w:tcBorders>
            <w:shd w:val="clear" w:color="auto" w:fill="auto"/>
            <w:vAlign w:val="center"/>
          </w:tcPr>
          <w:p w14:paraId="4F4FF06B">
            <w:pPr>
              <w:widowControl/>
              <w:jc w:val="center"/>
              <w:rPr>
                <w:rFonts w:ascii="宋体" w:hAnsi="宋体" w:cs="宋体"/>
                <w:kern w:val="0"/>
                <w:sz w:val="24"/>
              </w:rPr>
            </w:pPr>
            <w:r>
              <w:rPr>
                <w:rFonts w:hint="eastAsia" w:ascii="宋体" w:hAnsi="宋体" w:cs="宋体"/>
                <w:kern w:val="0"/>
                <w:sz w:val="24"/>
              </w:rPr>
              <w:t>墙面</w:t>
            </w:r>
          </w:p>
        </w:tc>
        <w:tc>
          <w:tcPr>
            <w:tcW w:w="3780" w:type="dxa"/>
            <w:tcBorders>
              <w:top w:val="nil"/>
              <w:left w:val="nil"/>
              <w:bottom w:val="single" w:color="auto" w:sz="4" w:space="0"/>
              <w:right w:val="single" w:color="auto" w:sz="4" w:space="0"/>
            </w:tcBorders>
            <w:shd w:val="clear" w:color="auto" w:fill="auto"/>
            <w:vAlign w:val="center"/>
          </w:tcPr>
          <w:p w14:paraId="48C71735">
            <w:pPr>
              <w:widowControl/>
              <w:jc w:val="center"/>
              <w:rPr>
                <w:rFonts w:ascii="宋体" w:hAnsi="宋体" w:cs="宋体"/>
                <w:kern w:val="0"/>
                <w:sz w:val="24"/>
              </w:rPr>
            </w:pPr>
            <w:r>
              <w:rPr>
                <w:rFonts w:hint="eastAsia" w:ascii="宋体" w:hAnsi="宋体" w:cs="宋体"/>
                <w:kern w:val="0"/>
                <w:sz w:val="24"/>
              </w:rPr>
              <w:t>立邦、美巢、三棵树</w:t>
            </w:r>
          </w:p>
        </w:tc>
      </w:tr>
      <w:tr w14:paraId="1FE2DC5E">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F3D6D36">
            <w:pPr>
              <w:widowControl/>
              <w:jc w:val="center"/>
              <w:rPr>
                <w:rFonts w:ascii="宋体" w:hAnsi="宋体" w:cs="宋体"/>
                <w:kern w:val="0"/>
                <w:sz w:val="24"/>
              </w:rPr>
            </w:pPr>
            <w:r>
              <w:rPr>
                <w:rFonts w:hint="eastAsia" w:ascii="宋体" w:hAnsi="宋体" w:cs="宋体"/>
                <w:kern w:val="0"/>
                <w:sz w:val="24"/>
              </w:rPr>
              <w:t>2</w:t>
            </w:r>
          </w:p>
        </w:tc>
        <w:tc>
          <w:tcPr>
            <w:tcW w:w="2580" w:type="dxa"/>
            <w:tcBorders>
              <w:top w:val="nil"/>
              <w:left w:val="nil"/>
              <w:bottom w:val="single" w:color="auto" w:sz="4" w:space="0"/>
              <w:right w:val="single" w:color="auto" w:sz="4" w:space="0"/>
            </w:tcBorders>
            <w:shd w:val="clear" w:color="auto" w:fill="auto"/>
            <w:vAlign w:val="center"/>
          </w:tcPr>
          <w:p w14:paraId="02939553">
            <w:pPr>
              <w:widowControl/>
              <w:jc w:val="center"/>
              <w:rPr>
                <w:rFonts w:ascii="宋体" w:hAnsi="宋体" w:cs="宋体"/>
                <w:kern w:val="0"/>
                <w:sz w:val="24"/>
              </w:rPr>
            </w:pPr>
            <w:r>
              <w:rPr>
                <w:rFonts w:hint="eastAsia" w:ascii="宋体" w:hAnsi="宋体" w:cs="宋体"/>
                <w:kern w:val="0"/>
                <w:sz w:val="24"/>
              </w:rPr>
              <w:t>墙固</w:t>
            </w:r>
          </w:p>
        </w:tc>
        <w:tc>
          <w:tcPr>
            <w:tcW w:w="2560" w:type="dxa"/>
            <w:tcBorders>
              <w:top w:val="nil"/>
              <w:left w:val="nil"/>
              <w:bottom w:val="single" w:color="auto" w:sz="4" w:space="0"/>
              <w:right w:val="single" w:color="auto" w:sz="4" w:space="0"/>
            </w:tcBorders>
            <w:shd w:val="clear" w:color="auto" w:fill="auto"/>
            <w:vAlign w:val="center"/>
          </w:tcPr>
          <w:p w14:paraId="72D4496C">
            <w:pPr>
              <w:widowControl/>
              <w:jc w:val="center"/>
              <w:rPr>
                <w:rFonts w:ascii="宋体" w:hAnsi="宋体" w:cs="宋体"/>
                <w:kern w:val="0"/>
                <w:sz w:val="24"/>
              </w:rPr>
            </w:pPr>
            <w:r>
              <w:rPr>
                <w:rFonts w:hint="eastAsia" w:ascii="宋体" w:hAnsi="宋体" w:cs="宋体"/>
                <w:kern w:val="0"/>
                <w:sz w:val="24"/>
              </w:rPr>
              <w:t>墙面</w:t>
            </w:r>
          </w:p>
        </w:tc>
        <w:tc>
          <w:tcPr>
            <w:tcW w:w="3780" w:type="dxa"/>
            <w:tcBorders>
              <w:top w:val="nil"/>
              <w:left w:val="nil"/>
              <w:bottom w:val="single" w:color="auto" w:sz="4" w:space="0"/>
              <w:right w:val="single" w:color="auto" w:sz="4" w:space="0"/>
            </w:tcBorders>
            <w:shd w:val="clear" w:color="auto" w:fill="auto"/>
            <w:vAlign w:val="center"/>
          </w:tcPr>
          <w:p w14:paraId="55119DE2">
            <w:pPr>
              <w:widowControl/>
              <w:jc w:val="center"/>
              <w:rPr>
                <w:rFonts w:ascii="宋体" w:hAnsi="宋体" w:cs="宋体"/>
                <w:kern w:val="0"/>
                <w:sz w:val="24"/>
              </w:rPr>
            </w:pPr>
            <w:r>
              <w:rPr>
                <w:rFonts w:hint="eastAsia" w:ascii="宋体" w:hAnsi="宋体" w:cs="宋体"/>
                <w:kern w:val="0"/>
                <w:sz w:val="24"/>
              </w:rPr>
              <w:t>立邦、美巢、三棵树</w:t>
            </w:r>
          </w:p>
        </w:tc>
      </w:tr>
      <w:tr w14:paraId="3EFB37E0">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D2CBFE3">
            <w:pPr>
              <w:widowControl/>
              <w:jc w:val="center"/>
              <w:rPr>
                <w:rFonts w:ascii="宋体" w:hAnsi="宋体" w:cs="宋体"/>
                <w:kern w:val="0"/>
                <w:sz w:val="24"/>
              </w:rPr>
            </w:pPr>
            <w:r>
              <w:rPr>
                <w:rFonts w:hint="eastAsia" w:ascii="宋体" w:hAnsi="宋体" w:cs="宋体"/>
                <w:kern w:val="0"/>
                <w:sz w:val="24"/>
              </w:rPr>
              <w:t>3</w:t>
            </w:r>
          </w:p>
        </w:tc>
        <w:tc>
          <w:tcPr>
            <w:tcW w:w="2580" w:type="dxa"/>
            <w:tcBorders>
              <w:top w:val="nil"/>
              <w:left w:val="nil"/>
              <w:bottom w:val="single" w:color="auto" w:sz="4" w:space="0"/>
              <w:right w:val="single" w:color="auto" w:sz="4" w:space="0"/>
            </w:tcBorders>
            <w:shd w:val="clear" w:color="auto" w:fill="auto"/>
            <w:vAlign w:val="center"/>
          </w:tcPr>
          <w:p w14:paraId="18CA5B15">
            <w:pPr>
              <w:widowControl/>
              <w:jc w:val="center"/>
              <w:rPr>
                <w:rFonts w:ascii="宋体" w:hAnsi="宋体" w:cs="宋体"/>
                <w:kern w:val="0"/>
                <w:sz w:val="24"/>
              </w:rPr>
            </w:pPr>
            <w:r>
              <w:rPr>
                <w:rFonts w:hint="eastAsia" w:ascii="宋体" w:hAnsi="宋体" w:cs="宋体"/>
                <w:kern w:val="0"/>
                <w:sz w:val="24"/>
              </w:rPr>
              <w:t>界面剂</w:t>
            </w:r>
          </w:p>
        </w:tc>
        <w:tc>
          <w:tcPr>
            <w:tcW w:w="2560" w:type="dxa"/>
            <w:tcBorders>
              <w:top w:val="nil"/>
              <w:left w:val="nil"/>
              <w:bottom w:val="single" w:color="auto" w:sz="4" w:space="0"/>
              <w:right w:val="single" w:color="auto" w:sz="4" w:space="0"/>
            </w:tcBorders>
            <w:shd w:val="clear" w:color="auto" w:fill="auto"/>
            <w:vAlign w:val="center"/>
          </w:tcPr>
          <w:p w14:paraId="2614F286">
            <w:pPr>
              <w:widowControl/>
              <w:jc w:val="center"/>
              <w:rPr>
                <w:rFonts w:ascii="宋体" w:hAnsi="宋体" w:cs="宋体"/>
                <w:kern w:val="0"/>
                <w:sz w:val="24"/>
              </w:rPr>
            </w:pPr>
            <w:r>
              <w:rPr>
                <w:rFonts w:hint="eastAsia" w:ascii="宋体" w:hAnsi="宋体" w:cs="宋体"/>
                <w:kern w:val="0"/>
                <w:sz w:val="24"/>
              </w:rPr>
              <w:t>墙面</w:t>
            </w:r>
          </w:p>
        </w:tc>
        <w:tc>
          <w:tcPr>
            <w:tcW w:w="3780" w:type="dxa"/>
            <w:tcBorders>
              <w:top w:val="nil"/>
              <w:left w:val="nil"/>
              <w:bottom w:val="single" w:color="auto" w:sz="4" w:space="0"/>
              <w:right w:val="single" w:color="auto" w:sz="4" w:space="0"/>
            </w:tcBorders>
            <w:shd w:val="clear" w:color="auto" w:fill="auto"/>
            <w:vAlign w:val="center"/>
          </w:tcPr>
          <w:p w14:paraId="0CA8B382">
            <w:pPr>
              <w:widowControl/>
              <w:jc w:val="center"/>
              <w:rPr>
                <w:rFonts w:ascii="宋体" w:hAnsi="宋体" w:cs="宋体"/>
                <w:kern w:val="0"/>
                <w:sz w:val="24"/>
              </w:rPr>
            </w:pPr>
            <w:r>
              <w:rPr>
                <w:rFonts w:hint="eastAsia" w:ascii="宋体" w:hAnsi="宋体" w:cs="宋体"/>
                <w:kern w:val="0"/>
                <w:sz w:val="24"/>
              </w:rPr>
              <w:t>立邦、美巢、三棵树</w:t>
            </w:r>
          </w:p>
        </w:tc>
      </w:tr>
      <w:tr w14:paraId="0F4A70EF">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69B6850">
            <w:pPr>
              <w:widowControl/>
              <w:jc w:val="center"/>
              <w:rPr>
                <w:rFonts w:ascii="宋体" w:hAnsi="宋体" w:cs="宋体"/>
                <w:kern w:val="0"/>
                <w:sz w:val="24"/>
              </w:rPr>
            </w:pPr>
            <w:r>
              <w:rPr>
                <w:rFonts w:hint="eastAsia" w:ascii="宋体" w:hAnsi="宋体" w:cs="宋体"/>
                <w:kern w:val="0"/>
                <w:sz w:val="24"/>
              </w:rPr>
              <w:t>4</w:t>
            </w:r>
          </w:p>
        </w:tc>
        <w:tc>
          <w:tcPr>
            <w:tcW w:w="2580" w:type="dxa"/>
            <w:tcBorders>
              <w:top w:val="nil"/>
              <w:left w:val="nil"/>
              <w:bottom w:val="single" w:color="auto" w:sz="4" w:space="0"/>
              <w:right w:val="single" w:color="auto" w:sz="4" w:space="0"/>
            </w:tcBorders>
            <w:shd w:val="clear" w:color="auto" w:fill="auto"/>
            <w:vAlign w:val="center"/>
          </w:tcPr>
          <w:p w14:paraId="52FD9A08">
            <w:pPr>
              <w:widowControl/>
              <w:jc w:val="center"/>
              <w:rPr>
                <w:rFonts w:ascii="宋体" w:hAnsi="宋体" w:cs="宋体"/>
                <w:kern w:val="0"/>
                <w:sz w:val="24"/>
              </w:rPr>
            </w:pPr>
            <w:r>
              <w:rPr>
                <w:rFonts w:hint="eastAsia" w:ascii="宋体" w:hAnsi="宋体" w:cs="宋体"/>
                <w:kern w:val="0"/>
                <w:sz w:val="24"/>
              </w:rPr>
              <w:t>乳胶漆</w:t>
            </w:r>
          </w:p>
        </w:tc>
        <w:tc>
          <w:tcPr>
            <w:tcW w:w="2560" w:type="dxa"/>
            <w:tcBorders>
              <w:top w:val="nil"/>
              <w:left w:val="nil"/>
              <w:bottom w:val="single" w:color="auto" w:sz="4" w:space="0"/>
              <w:right w:val="single" w:color="auto" w:sz="4" w:space="0"/>
            </w:tcBorders>
            <w:shd w:val="clear" w:color="auto" w:fill="auto"/>
            <w:vAlign w:val="center"/>
          </w:tcPr>
          <w:p w14:paraId="660AFDFE">
            <w:pPr>
              <w:widowControl/>
              <w:jc w:val="center"/>
              <w:rPr>
                <w:rFonts w:ascii="宋体" w:hAnsi="宋体" w:cs="宋体"/>
                <w:kern w:val="0"/>
                <w:sz w:val="24"/>
              </w:rPr>
            </w:pPr>
            <w:r>
              <w:rPr>
                <w:rFonts w:hint="eastAsia" w:ascii="宋体" w:hAnsi="宋体" w:cs="宋体"/>
                <w:kern w:val="0"/>
                <w:sz w:val="24"/>
              </w:rPr>
              <w:t>墙面</w:t>
            </w:r>
          </w:p>
        </w:tc>
        <w:tc>
          <w:tcPr>
            <w:tcW w:w="3780" w:type="dxa"/>
            <w:tcBorders>
              <w:top w:val="nil"/>
              <w:left w:val="nil"/>
              <w:bottom w:val="single" w:color="auto" w:sz="4" w:space="0"/>
              <w:right w:val="single" w:color="auto" w:sz="4" w:space="0"/>
            </w:tcBorders>
            <w:shd w:val="clear" w:color="auto" w:fill="auto"/>
            <w:vAlign w:val="center"/>
          </w:tcPr>
          <w:p w14:paraId="4EBEF85A">
            <w:pPr>
              <w:widowControl/>
              <w:jc w:val="center"/>
              <w:rPr>
                <w:rFonts w:ascii="宋体" w:hAnsi="宋体" w:cs="宋体"/>
                <w:kern w:val="0"/>
                <w:sz w:val="24"/>
              </w:rPr>
            </w:pPr>
            <w:r>
              <w:rPr>
                <w:rFonts w:hint="eastAsia" w:ascii="宋体" w:hAnsi="宋体" w:cs="宋体"/>
                <w:kern w:val="0"/>
                <w:sz w:val="24"/>
              </w:rPr>
              <w:t>立邦、多乐士、三棵树</w:t>
            </w:r>
          </w:p>
        </w:tc>
      </w:tr>
      <w:tr w14:paraId="255742D8">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5DB4B4E">
            <w:pPr>
              <w:widowControl/>
              <w:jc w:val="center"/>
              <w:rPr>
                <w:rFonts w:ascii="宋体" w:hAnsi="宋体" w:cs="宋体"/>
                <w:kern w:val="0"/>
                <w:sz w:val="24"/>
              </w:rPr>
            </w:pPr>
            <w:r>
              <w:rPr>
                <w:rFonts w:hint="eastAsia" w:ascii="宋体" w:hAnsi="宋体" w:cs="宋体"/>
                <w:kern w:val="0"/>
                <w:sz w:val="24"/>
              </w:rPr>
              <w:t>5</w:t>
            </w:r>
          </w:p>
        </w:tc>
        <w:tc>
          <w:tcPr>
            <w:tcW w:w="2580" w:type="dxa"/>
            <w:tcBorders>
              <w:top w:val="nil"/>
              <w:left w:val="nil"/>
              <w:bottom w:val="single" w:color="auto" w:sz="4" w:space="0"/>
              <w:right w:val="single" w:color="auto" w:sz="4" w:space="0"/>
            </w:tcBorders>
            <w:shd w:val="clear" w:color="auto" w:fill="auto"/>
            <w:vAlign w:val="center"/>
          </w:tcPr>
          <w:p w14:paraId="38E4B7F1">
            <w:pPr>
              <w:widowControl/>
              <w:jc w:val="center"/>
              <w:rPr>
                <w:rFonts w:ascii="宋体" w:hAnsi="宋体" w:cs="宋体"/>
                <w:kern w:val="0"/>
                <w:sz w:val="24"/>
              </w:rPr>
            </w:pPr>
            <w:r>
              <w:rPr>
                <w:rFonts w:hint="eastAsia" w:ascii="宋体" w:hAnsi="宋体" w:cs="宋体"/>
                <w:kern w:val="0"/>
                <w:sz w:val="24"/>
              </w:rPr>
              <w:t>油漆</w:t>
            </w:r>
          </w:p>
        </w:tc>
        <w:tc>
          <w:tcPr>
            <w:tcW w:w="2560" w:type="dxa"/>
            <w:tcBorders>
              <w:top w:val="nil"/>
              <w:left w:val="nil"/>
              <w:bottom w:val="single" w:color="auto" w:sz="4" w:space="0"/>
              <w:right w:val="single" w:color="auto" w:sz="4" w:space="0"/>
            </w:tcBorders>
            <w:shd w:val="clear" w:color="auto" w:fill="auto"/>
            <w:vAlign w:val="center"/>
          </w:tcPr>
          <w:p w14:paraId="397172C4">
            <w:pPr>
              <w:widowControl/>
              <w:jc w:val="center"/>
              <w:rPr>
                <w:rFonts w:ascii="宋体" w:hAnsi="宋体" w:cs="宋体"/>
                <w:kern w:val="0"/>
                <w:sz w:val="24"/>
              </w:rPr>
            </w:pPr>
            <w:r>
              <w:rPr>
                <w:rFonts w:hint="eastAsia" w:ascii="宋体" w:hAnsi="宋体" w:cs="宋体"/>
                <w:kern w:val="0"/>
                <w:sz w:val="24"/>
              </w:rPr>
              <w:t>顶面</w:t>
            </w:r>
          </w:p>
        </w:tc>
        <w:tc>
          <w:tcPr>
            <w:tcW w:w="3780" w:type="dxa"/>
            <w:tcBorders>
              <w:top w:val="nil"/>
              <w:left w:val="nil"/>
              <w:bottom w:val="single" w:color="auto" w:sz="4" w:space="0"/>
              <w:right w:val="single" w:color="auto" w:sz="4" w:space="0"/>
            </w:tcBorders>
            <w:shd w:val="clear" w:color="auto" w:fill="auto"/>
            <w:vAlign w:val="center"/>
          </w:tcPr>
          <w:p w14:paraId="504C975A">
            <w:pPr>
              <w:widowControl/>
              <w:jc w:val="center"/>
              <w:rPr>
                <w:rFonts w:ascii="宋体" w:hAnsi="宋体" w:cs="宋体"/>
                <w:kern w:val="0"/>
                <w:sz w:val="24"/>
              </w:rPr>
            </w:pPr>
            <w:r>
              <w:rPr>
                <w:rFonts w:hint="eastAsia" w:ascii="宋体" w:hAnsi="宋体" w:cs="宋体"/>
                <w:kern w:val="0"/>
                <w:sz w:val="24"/>
              </w:rPr>
              <w:t>立邦、多乐士、三棵树</w:t>
            </w:r>
          </w:p>
        </w:tc>
      </w:tr>
      <w:tr w14:paraId="3FD9CC3A">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FAC2892">
            <w:pPr>
              <w:widowControl/>
              <w:jc w:val="center"/>
              <w:rPr>
                <w:rFonts w:ascii="宋体" w:hAnsi="宋体" w:cs="宋体"/>
                <w:kern w:val="0"/>
                <w:sz w:val="24"/>
              </w:rPr>
            </w:pPr>
            <w:r>
              <w:rPr>
                <w:rFonts w:hint="eastAsia" w:ascii="宋体" w:hAnsi="宋体" w:cs="宋体"/>
                <w:kern w:val="0"/>
                <w:sz w:val="24"/>
              </w:rPr>
              <w:t>6</w:t>
            </w:r>
          </w:p>
        </w:tc>
        <w:tc>
          <w:tcPr>
            <w:tcW w:w="2580" w:type="dxa"/>
            <w:tcBorders>
              <w:top w:val="nil"/>
              <w:left w:val="nil"/>
              <w:bottom w:val="single" w:color="auto" w:sz="4" w:space="0"/>
              <w:right w:val="single" w:color="auto" w:sz="4" w:space="0"/>
            </w:tcBorders>
            <w:shd w:val="clear" w:color="auto" w:fill="auto"/>
            <w:vAlign w:val="center"/>
          </w:tcPr>
          <w:p w14:paraId="2A9D232F">
            <w:pPr>
              <w:widowControl/>
              <w:jc w:val="center"/>
              <w:rPr>
                <w:rFonts w:ascii="宋体" w:hAnsi="宋体" w:cs="宋体"/>
                <w:kern w:val="0"/>
                <w:sz w:val="24"/>
              </w:rPr>
            </w:pPr>
            <w:r>
              <w:rPr>
                <w:rFonts w:hint="eastAsia" w:ascii="宋体" w:hAnsi="宋体" w:cs="宋体"/>
                <w:kern w:val="0"/>
                <w:sz w:val="24"/>
              </w:rPr>
              <w:t>矿棉吸音板</w:t>
            </w:r>
          </w:p>
        </w:tc>
        <w:tc>
          <w:tcPr>
            <w:tcW w:w="2560" w:type="dxa"/>
            <w:tcBorders>
              <w:top w:val="nil"/>
              <w:left w:val="nil"/>
              <w:bottom w:val="single" w:color="auto" w:sz="4" w:space="0"/>
              <w:right w:val="single" w:color="auto" w:sz="4" w:space="0"/>
            </w:tcBorders>
            <w:shd w:val="clear" w:color="auto" w:fill="auto"/>
            <w:vAlign w:val="center"/>
          </w:tcPr>
          <w:p w14:paraId="695B9A1D">
            <w:pPr>
              <w:widowControl/>
              <w:jc w:val="center"/>
              <w:rPr>
                <w:rFonts w:ascii="宋体" w:hAnsi="宋体" w:cs="宋体"/>
                <w:kern w:val="0"/>
                <w:sz w:val="24"/>
              </w:rPr>
            </w:pPr>
            <w:r>
              <w:rPr>
                <w:rFonts w:hint="eastAsia" w:ascii="宋体" w:hAnsi="宋体" w:cs="宋体"/>
                <w:kern w:val="0"/>
                <w:sz w:val="24"/>
              </w:rPr>
              <w:t>顶面</w:t>
            </w:r>
          </w:p>
        </w:tc>
        <w:tc>
          <w:tcPr>
            <w:tcW w:w="3780" w:type="dxa"/>
            <w:tcBorders>
              <w:top w:val="nil"/>
              <w:left w:val="nil"/>
              <w:bottom w:val="single" w:color="auto" w:sz="4" w:space="0"/>
              <w:right w:val="single" w:color="auto" w:sz="4" w:space="0"/>
            </w:tcBorders>
            <w:shd w:val="clear" w:color="auto" w:fill="auto"/>
            <w:vAlign w:val="center"/>
          </w:tcPr>
          <w:p w14:paraId="7A3434C8">
            <w:pPr>
              <w:widowControl/>
              <w:jc w:val="center"/>
              <w:rPr>
                <w:rFonts w:ascii="宋体" w:hAnsi="宋体" w:cs="宋体"/>
                <w:kern w:val="0"/>
                <w:sz w:val="24"/>
              </w:rPr>
            </w:pPr>
            <w:r>
              <w:rPr>
                <w:rFonts w:hint="eastAsia" w:ascii="宋体" w:hAnsi="宋体" w:cs="宋体"/>
                <w:kern w:val="0"/>
                <w:sz w:val="24"/>
              </w:rPr>
              <w:t>龙牌、星牌、泰山</w:t>
            </w:r>
          </w:p>
        </w:tc>
      </w:tr>
      <w:tr w14:paraId="2FB9CED1">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17C9262">
            <w:pPr>
              <w:widowControl/>
              <w:jc w:val="center"/>
              <w:rPr>
                <w:rFonts w:ascii="宋体" w:hAnsi="宋体" w:cs="宋体"/>
                <w:kern w:val="0"/>
                <w:sz w:val="24"/>
              </w:rPr>
            </w:pPr>
            <w:r>
              <w:rPr>
                <w:rFonts w:hint="eastAsia" w:ascii="宋体" w:hAnsi="宋体" w:cs="宋体"/>
                <w:kern w:val="0"/>
                <w:sz w:val="24"/>
              </w:rPr>
              <w:t>7</w:t>
            </w:r>
          </w:p>
        </w:tc>
        <w:tc>
          <w:tcPr>
            <w:tcW w:w="2580" w:type="dxa"/>
            <w:tcBorders>
              <w:top w:val="nil"/>
              <w:left w:val="nil"/>
              <w:bottom w:val="single" w:color="auto" w:sz="4" w:space="0"/>
              <w:right w:val="single" w:color="auto" w:sz="4" w:space="0"/>
            </w:tcBorders>
            <w:shd w:val="clear" w:color="auto" w:fill="auto"/>
            <w:vAlign w:val="center"/>
          </w:tcPr>
          <w:p w14:paraId="43086DC0">
            <w:pPr>
              <w:widowControl/>
              <w:jc w:val="center"/>
              <w:rPr>
                <w:rFonts w:ascii="宋体" w:hAnsi="宋体" w:cs="宋体"/>
                <w:kern w:val="0"/>
                <w:sz w:val="24"/>
              </w:rPr>
            </w:pPr>
            <w:r>
              <w:rPr>
                <w:rFonts w:hint="eastAsia" w:ascii="宋体" w:hAnsi="宋体" w:cs="宋体"/>
                <w:kern w:val="0"/>
                <w:sz w:val="24"/>
              </w:rPr>
              <w:t>铝扣板</w:t>
            </w:r>
          </w:p>
        </w:tc>
        <w:tc>
          <w:tcPr>
            <w:tcW w:w="2560" w:type="dxa"/>
            <w:tcBorders>
              <w:top w:val="nil"/>
              <w:left w:val="nil"/>
              <w:bottom w:val="single" w:color="auto" w:sz="4" w:space="0"/>
              <w:right w:val="single" w:color="auto" w:sz="4" w:space="0"/>
            </w:tcBorders>
            <w:shd w:val="clear" w:color="auto" w:fill="auto"/>
            <w:vAlign w:val="center"/>
          </w:tcPr>
          <w:p w14:paraId="356748C6">
            <w:pPr>
              <w:widowControl/>
              <w:jc w:val="center"/>
              <w:rPr>
                <w:rFonts w:ascii="宋体" w:hAnsi="宋体" w:cs="宋体"/>
                <w:kern w:val="0"/>
                <w:sz w:val="24"/>
              </w:rPr>
            </w:pPr>
            <w:r>
              <w:rPr>
                <w:rFonts w:hint="eastAsia" w:ascii="宋体" w:hAnsi="宋体" w:cs="宋体"/>
                <w:kern w:val="0"/>
                <w:sz w:val="24"/>
              </w:rPr>
              <w:t>卫生间顶面</w:t>
            </w:r>
          </w:p>
        </w:tc>
        <w:tc>
          <w:tcPr>
            <w:tcW w:w="3780" w:type="dxa"/>
            <w:tcBorders>
              <w:top w:val="nil"/>
              <w:left w:val="nil"/>
              <w:bottom w:val="single" w:color="auto" w:sz="4" w:space="0"/>
              <w:right w:val="single" w:color="auto" w:sz="4" w:space="0"/>
            </w:tcBorders>
            <w:shd w:val="clear" w:color="auto" w:fill="auto"/>
            <w:vAlign w:val="center"/>
          </w:tcPr>
          <w:p w14:paraId="565FAE98">
            <w:pPr>
              <w:widowControl/>
              <w:jc w:val="center"/>
              <w:rPr>
                <w:rFonts w:ascii="宋体" w:hAnsi="宋体" w:cs="宋体"/>
                <w:kern w:val="0"/>
                <w:sz w:val="24"/>
              </w:rPr>
            </w:pPr>
            <w:r>
              <w:rPr>
                <w:rFonts w:hint="eastAsia" w:ascii="宋体" w:hAnsi="宋体" w:cs="宋体"/>
                <w:kern w:val="0"/>
                <w:sz w:val="24"/>
              </w:rPr>
              <w:t>志高、中韩金都、华斯伦</w:t>
            </w:r>
          </w:p>
        </w:tc>
      </w:tr>
      <w:tr w14:paraId="65985241">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63FFA5A">
            <w:pPr>
              <w:widowControl/>
              <w:jc w:val="center"/>
              <w:rPr>
                <w:rFonts w:ascii="宋体" w:hAnsi="宋体" w:cs="宋体"/>
                <w:kern w:val="0"/>
                <w:sz w:val="24"/>
              </w:rPr>
            </w:pPr>
            <w:r>
              <w:rPr>
                <w:rFonts w:hint="eastAsia" w:ascii="宋体" w:hAnsi="宋体" w:cs="宋体"/>
                <w:kern w:val="0"/>
                <w:sz w:val="24"/>
              </w:rPr>
              <w:t>8</w:t>
            </w:r>
          </w:p>
        </w:tc>
        <w:tc>
          <w:tcPr>
            <w:tcW w:w="2580" w:type="dxa"/>
            <w:tcBorders>
              <w:top w:val="nil"/>
              <w:left w:val="nil"/>
              <w:bottom w:val="single" w:color="auto" w:sz="4" w:space="0"/>
              <w:right w:val="single" w:color="auto" w:sz="4" w:space="0"/>
            </w:tcBorders>
            <w:shd w:val="clear" w:color="auto" w:fill="auto"/>
            <w:vAlign w:val="center"/>
          </w:tcPr>
          <w:p w14:paraId="5F73FAAD">
            <w:pPr>
              <w:widowControl/>
              <w:jc w:val="center"/>
              <w:rPr>
                <w:rFonts w:ascii="宋体" w:hAnsi="宋体" w:cs="宋体"/>
                <w:kern w:val="0"/>
                <w:sz w:val="24"/>
              </w:rPr>
            </w:pPr>
            <w:r>
              <w:rPr>
                <w:rFonts w:hint="eastAsia" w:ascii="宋体" w:hAnsi="宋体" w:cs="宋体"/>
                <w:kern w:val="0"/>
                <w:sz w:val="24"/>
              </w:rPr>
              <w:t>方通</w:t>
            </w:r>
          </w:p>
        </w:tc>
        <w:tc>
          <w:tcPr>
            <w:tcW w:w="2560" w:type="dxa"/>
            <w:tcBorders>
              <w:top w:val="nil"/>
              <w:left w:val="nil"/>
              <w:bottom w:val="single" w:color="auto" w:sz="4" w:space="0"/>
              <w:right w:val="single" w:color="auto" w:sz="4" w:space="0"/>
            </w:tcBorders>
            <w:shd w:val="clear" w:color="auto" w:fill="auto"/>
            <w:vAlign w:val="center"/>
          </w:tcPr>
          <w:p w14:paraId="7F64B096">
            <w:pPr>
              <w:widowControl/>
              <w:jc w:val="center"/>
              <w:rPr>
                <w:rFonts w:ascii="宋体" w:hAnsi="宋体" w:cs="宋体"/>
                <w:kern w:val="0"/>
                <w:sz w:val="24"/>
              </w:rPr>
            </w:pPr>
            <w:r>
              <w:rPr>
                <w:rFonts w:hint="eastAsia" w:ascii="宋体" w:hAnsi="宋体" w:cs="宋体"/>
                <w:kern w:val="0"/>
                <w:sz w:val="24"/>
              </w:rPr>
              <w:t>东侧办公区顶面</w:t>
            </w:r>
          </w:p>
        </w:tc>
        <w:tc>
          <w:tcPr>
            <w:tcW w:w="3780" w:type="dxa"/>
            <w:tcBorders>
              <w:top w:val="nil"/>
              <w:left w:val="nil"/>
              <w:bottom w:val="single" w:color="auto" w:sz="4" w:space="0"/>
              <w:right w:val="single" w:color="auto" w:sz="4" w:space="0"/>
            </w:tcBorders>
            <w:shd w:val="clear" w:color="auto" w:fill="auto"/>
            <w:vAlign w:val="center"/>
          </w:tcPr>
          <w:p w14:paraId="54D7605A">
            <w:pPr>
              <w:widowControl/>
              <w:jc w:val="center"/>
              <w:rPr>
                <w:rFonts w:ascii="宋体" w:hAnsi="宋体" w:cs="宋体"/>
                <w:kern w:val="0"/>
                <w:sz w:val="24"/>
              </w:rPr>
            </w:pPr>
            <w:r>
              <w:rPr>
                <w:rFonts w:hint="eastAsia" w:ascii="宋体" w:hAnsi="宋体" w:cs="宋体"/>
                <w:kern w:val="0"/>
                <w:sz w:val="24"/>
              </w:rPr>
              <w:t>志高、中韩金都、华斯伦</w:t>
            </w:r>
          </w:p>
        </w:tc>
      </w:tr>
      <w:tr w14:paraId="313DC139">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F988798">
            <w:pPr>
              <w:widowControl/>
              <w:jc w:val="center"/>
              <w:rPr>
                <w:rFonts w:ascii="宋体" w:hAnsi="宋体" w:cs="宋体"/>
                <w:kern w:val="0"/>
                <w:sz w:val="24"/>
              </w:rPr>
            </w:pPr>
            <w:r>
              <w:rPr>
                <w:rFonts w:hint="eastAsia" w:ascii="宋体" w:hAnsi="宋体" w:cs="宋体"/>
                <w:kern w:val="0"/>
                <w:sz w:val="24"/>
              </w:rPr>
              <w:t>9</w:t>
            </w:r>
          </w:p>
        </w:tc>
        <w:tc>
          <w:tcPr>
            <w:tcW w:w="2580" w:type="dxa"/>
            <w:tcBorders>
              <w:top w:val="nil"/>
              <w:left w:val="nil"/>
              <w:bottom w:val="single" w:color="auto" w:sz="4" w:space="0"/>
              <w:right w:val="single" w:color="auto" w:sz="4" w:space="0"/>
            </w:tcBorders>
            <w:shd w:val="clear" w:color="auto" w:fill="auto"/>
            <w:vAlign w:val="center"/>
          </w:tcPr>
          <w:p w14:paraId="39968EFC">
            <w:pPr>
              <w:widowControl/>
              <w:jc w:val="center"/>
              <w:rPr>
                <w:rFonts w:ascii="宋体" w:hAnsi="宋体" w:cs="宋体"/>
                <w:kern w:val="0"/>
                <w:sz w:val="24"/>
              </w:rPr>
            </w:pPr>
            <w:r>
              <w:rPr>
                <w:rFonts w:hint="eastAsia" w:ascii="宋体" w:hAnsi="宋体" w:cs="宋体"/>
                <w:kern w:val="0"/>
                <w:sz w:val="24"/>
              </w:rPr>
              <w:t>地砖/踢脚线</w:t>
            </w:r>
          </w:p>
        </w:tc>
        <w:tc>
          <w:tcPr>
            <w:tcW w:w="2560" w:type="dxa"/>
            <w:tcBorders>
              <w:top w:val="nil"/>
              <w:left w:val="nil"/>
              <w:bottom w:val="single" w:color="auto" w:sz="4" w:space="0"/>
              <w:right w:val="single" w:color="auto" w:sz="4" w:space="0"/>
            </w:tcBorders>
            <w:shd w:val="clear" w:color="auto" w:fill="auto"/>
            <w:vAlign w:val="center"/>
          </w:tcPr>
          <w:p w14:paraId="5FF83F4C">
            <w:pPr>
              <w:widowControl/>
              <w:jc w:val="center"/>
              <w:rPr>
                <w:rFonts w:ascii="宋体" w:hAnsi="宋体" w:cs="宋体"/>
                <w:kern w:val="0"/>
                <w:sz w:val="24"/>
              </w:rPr>
            </w:pPr>
            <w:r>
              <w:rPr>
                <w:rFonts w:hint="eastAsia" w:ascii="宋体" w:hAnsi="宋体" w:cs="宋体"/>
                <w:kern w:val="0"/>
                <w:sz w:val="24"/>
              </w:rPr>
              <w:t>地面/墙面</w:t>
            </w:r>
          </w:p>
        </w:tc>
        <w:tc>
          <w:tcPr>
            <w:tcW w:w="3780" w:type="dxa"/>
            <w:tcBorders>
              <w:top w:val="nil"/>
              <w:left w:val="nil"/>
              <w:bottom w:val="single" w:color="auto" w:sz="4" w:space="0"/>
              <w:right w:val="single" w:color="auto" w:sz="4" w:space="0"/>
            </w:tcBorders>
            <w:shd w:val="clear" w:color="auto" w:fill="auto"/>
            <w:vAlign w:val="center"/>
          </w:tcPr>
          <w:p w14:paraId="51A13A13">
            <w:pPr>
              <w:widowControl/>
              <w:jc w:val="center"/>
              <w:rPr>
                <w:rFonts w:ascii="宋体" w:hAnsi="宋体" w:cs="宋体"/>
                <w:kern w:val="0"/>
                <w:sz w:val="24"/>
              </w:rPr>
            </w:pPr>
            <w:r>
              <w:rPr>
                <w:rFonts w:hint="eastAsia" w:ascii="宋体" w:hAnsi="宋体" w:cs="宋体"/>
                <w:kern w:val="0"/>
                <w:sz w:val="24"/>
              </w:rPr>
              <w:t>东鹏、诺贝尔、蒙娜丽莎</w:t>
            </w:r>
          </w:p>
        </w:tc>
      </w:tr>
      <w:tr w14:paraId="7C64584C">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92A64C6">
            <w:pPr>
              <w:widowControl/>
              <w:jc w:val="center"/>
              <w:rPr>
                <w:rFonts w:ascii="宋体" w:hAnsi="宋体" w:cs="宋体"/>
                <w:kern w:val="0"/>
                <w:sz w:val="24"/>
              </w:rPr>
            </w:pPr>
            <w:r>
              <w:rPr>
                <w:rFonts w:hint="eastAsia" w:ascii="宋体" w:hAnsi="宋体" w:cs="宋体"/>
                <w:kern w:val="0"/>
                <w:sz w:val="24"/>
              </w:rPr>
              <w:t>10</w:t>
            </w:r>
          </w:p>
        </w:tc>
        <w:tc>
          <w:tcPr>
            <w:tcW w:w="2580" w:type="dxa"/>
            <w:tcBorders>
              <w:top w:val="nil"/>
              <w:left w:val="nil"/>
              <w:bottom w:val="single" w:color="auto" w:sz="4" w:space="0"/>
              <w:right w:val="single" w:color="auto" w:sz="4" w:space="0"/>
            </w:tcBorders>
            <w:shd w:val="clear" w:color="auto" w:fill="auto"/>
            <w:vAlign w:val="center"/>
          </w:tcPr>
          <w:p w14:paraId="5A68DB31">
            <w:pPr>
              <w:widowControl/>
              <w:jc w:val="center"/>
              <w:rPr>
                <w:rFonts w:ascii="宋体" w:hAnsi="宋体" w:cs="宋体"/>
                <w:kern w:val="0"/>
                <w:sz w:val="24"/>
              </w:rPr>
            </w:pPr>
            <w:r>
              <w:rPr>
                <w:rFonts w:hint="eastAsia" w:ascii="宋体" w:hAnsi="宋体" w:cs="宋体"/>
                <w:kern w:val="0"/>
                <w:sz w:val="24"/>
              </w:rPr>
              <w:t>LED灯具</w:t>
            </w:r>
          </w:p>
        </w:tc>
        <w:tc>
          <w:tcPr>
            <w:tcW w:w="2560" w:type="dxa"/>
            <w:tcBorders>
              <w:top w:val="nil"/>
              <w:left w:val="nil"/>
              <w:bottom w:val="single" w:color="auto" w:sz="4" w:space="0"/>
              <w:right w:val="single" w:color="auto" w:sz="4" w:space="0"/>
            </w:tcBorders>
            <w:shd w:val="clear" w:color="auto" w:fill="auto"/>
            <w:vAlign w:val="center"/>
          </w:tcPr>
          <w:p w14:paraId="03ADC9C9">
            <w:pPr>
              <w:widowControl/>
              <w:jc w:val="center"/>
              <w:rPr>
                <w:rFonts w:ascii="宋体" w:hAnsi="宋体" w:cs="宋体"/>
                <w:kern w:val="0"/>
                <w:sz w:val="24"/>
              </w:rPr>
            </w:pPr>
            <w:r>
              <w:rPr>
                <w:rFonts w:hint="eastAsia" w:ascii="宋体" w:hAnsi="宋体" w:cs="宋体"/>
                <w:kern w:val="0"/>
                <w:sz w:val="24"/>
              </w:rPr>
              <w:t>天花照明</w:t>
            </w:r>
          </w:p>
        </w:tc>
        <w:tc>
          <w:tcPr>
            <w:tcW w:w="3780" w:type="dxa"/>
            <w:tcBorders>
              <w:top w:val="nil"/>
              <w:left w:val="nil"/>
              <w:bottom w:val="single" w:color="auto" w:sz="4" w:space="0"/>
              <w:right w:val="single" w:color="auto" w:sz="4" w:space="0"/>
            </w:tcBorders>
            <w:shd w:val="clear" w:color="auto" w:fill="auto"/>
            <w:vAlign w:val="center"/>
          </w:tcPr>
          <w:p w14:paraId="3D22D579">
            <w:pPr>
              <w:widowControl/>
              <w:jc w:val="center"/>
              <w:rPr>
                <w:rFonts w:ascii="宋体" w:hAnsi="宋体" w:cs="宋体"/>
                <w:kern w:val="0"/>
                <w:sz w:val="24"/>
              </w:rPr>
            </w:pPr>
            <w:r>
              <w:rPr>
                <w:rFonts w:hint="eastAsia" w:ascii="宋体" w:hAnsi="宋体" w:cs="宋体"/>
                <w:kern w:val="0"/>
                <w:sz w:val="24"/>
              </w:rPr>
              <w:t>欧普、雷士、佛山</w:t>
            </w:r>
          </w:p>
        </w:tc>
      </w:tr>
      <w:tr w14:paraId="27BA5FB4">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09C578B">
            <w:pPr>
              <w:widowControl/>
              <w:jc w:val="center"/>
              <w:rPr>
                <w:rFonts w:ascii="宋体" w:hAnsi="宋体" w:cs="宋体"/>
                <w:kern w:val="0"/>
                <w:sz w:val="24"/>
              </w:rPr>
            </w:pPr>
            <w:r>
              <w:rPr>
                <w:rFonts w:hint="eastAsia" w:ascii="宋体" w:hAnsi="宋体" w:cs="宋体"/>
                <w:kern w:val="0"/>
                <w:sz w:val="24"/>
              </w:rPr>
              <w:t>11</w:t>
            </w:r>
          </w:p>
        </w:tc>
        <w:tc>
          <w:tcPr>
            <w:tcW w:w="2580" w:type="dxa"/>
            <w:tcBorders>
              <w:top w:val="nil"/>
              <w:left w:val="nil"/>
              <w:bottom w:val="single" w:color="auto" w:sz="4" w:space="0"/>
              <w:right w:val="single" w:color="auto" w:sz="4" w:space="0"/>
            </w:tcBorders>
            <w:shd w:val="clear" w:color="auto" w:fill="auto"/>
            <w:vAlign w:val="center"/>
          </w:tcPr>
          <w:p w14:paraId="78D733C1">
            <w:pPr>
              <w:widowControl/>
              <w:jc w:val="center"/>
              <w:rPr>
                <w:rFonts w:ascii="宋体" w:hAnsi="宋体" w:cs="宋体"/>
                <w:kern w:val="0"/>
                <w:sz w:val="24"/>
              </w:rPr>
            </w:pPr>
            <w:r>
              <w:rPr>
                <w:rFonts w:hint="eastAsia" w:ascii="宋体" w:hAnsi="宋体" w:cs="宋体"/>
                <w:kern w:val="0"/>
                <w:sz w:val="24"/>
              </w:rPr>
              <w:t>强电线缆</w:t>
            </w:r>
          </w:p>
        </w:tc>
        <w:tc>
          <w:tcPr>
            <w:tcW w:w="2560" w:type="dxa"/>
            <w:tcBorders>
              <w:top w:val="nil"/>
              <w:left w:val="nil"/>
              <w:bottom w:val="single" w:color="auto" w:sz="4" w:space="0"/>
              <w:right w:val="single" w:color="auto" w:sz="4" w:space="0"/>
            </w:tcBorders>
            <w:shd w:val="clear" w:color="auto" w:fill="auto"/>
            <w:vAlign w:val="center"/>
          </w:tcPr>
          <w:p w14:paraId="72E95F28">
            <w:pPr>
              <w:widowControl/>
              <w:jc w:val="center"/>
              <w:rPr>
                <w:rFonts w:ascii="宋体" w:hAnsi="宋体" w:cs="宋体"/>
                <w:kern w:val="0"/>
                <w:sz w:val="24"/>
              </w:rPr>
            </w:pPr>
            <w:r>
              <w:rPr>
                <w:rFonts w:hint="eastAsia" w:ascii="宋体" w:hAnsi="宋体" w:cs="宋体"/>
                <w:kern w:val="0"/>
                <w:sz w:val="24"/>
              </w:rPr>
              <w:t>办公室/会议室</w:t>
            </w:r>
          </w:p>
        </w:tc>
        <w:tc>
          <w:tcPr>
            <w:tcW w:w="3780" w:type="dxa"/>
            <w:tcBorders>
              <w:top w:val="nil"/>
              <w:left w:val="nil"/>
              <w:bottom w:val="single" w:color="auto" w:sz="4" w:space="0"/>
              <w:right w:val="single" w:color="auto" w:sz="4" w:space="0"/>
            </w:tcBorders>
            <w:shd w:val="clear" w:color="auto" w:fill="auto"/>
            <w:vAlign w:val="center"/>
          </w:tcPr>
          <w:p w14:paraId="7DF47F08">
            <w:pPr>
              <w:widowControl/>
              <w:jc w:val="center"/>
              <w:rPr>
                <w:rFonts w:ascii="宋体" w:hAnsi="宋体" w:cs="宋体"/>
                <w:kern w:val="0"/>
                <w:sz w:val="24"/>
              </w:rPr>
            </w:pPr>
            <w:r>
              <w:rPr>
                <w:rFonts w:hint="eastAsia" w:ascii="宋体" w:hAnsi="宋体" w:cs="宋体"/>
                <w:kern w:val="0"/>
                <w:sz w:val="24"/>
              </w:rPr>
              <w:t>昆仑、小猫、慧远</w:t>
            </w:r>
          </w:p>
        </w:tc>
      </w:tr>
      <w:tr w14:paraId="58E48852">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3F6315E">
            <w:pPr>
              <w:widowControl/>
              <w:jc w:val="center"/>
              <w:rPr>
                <w:rFonts w:ascii="宋体" w:hAnsi="宋体" w:cs="宋体"/>
                <w:kern w:val="0"/>
                <w:sz w:val="24"/>
              </w:rPr>
            </w:pPr>
            <w:r>
              <w:rPr>
                <w:rFonts w:hint="eastAsia" w:ascii="宋体" w:hAnsi="宋体" w:cs="宋体"/>
                <w:kern w:val="0"/>
                <w:sz w:val="24"/>
              </w:rPr>
              <w:t>12</w:t>
            </w:r>
          </w:p>
        </w:tc>
        <w:tc>
          <w:tcPr>
            <w:tcW w:w="2580" w:type="dxa"/>
            <w:tcBorders>
              <w:top w:val="nil"/>
              <w:left w:val="nil"/>
              <w:bottom w:val="single" w:color="auto" w:sz="4" w:space="0"/>
              <w:right w:val="single" w:color="auto" w:sz="4" w:space="0"/>
            </w:tcBorders>
            <w:shd w:val="clear" w:color="auto" w:fill="auto"/>
            <w:vAlign w:val="center"/>
          </w:tcPr>
          <w:p w14:paraId="06D0A6BD">
            <w:pPr>
              <w:widowControl/>
              <w:jc w:val="center"/>
              <w:rPr>
                <w:rFonts w:ascii="宋体" w:hAnsi="宋体" w:cs="宋体"/>
                <w:kern w:val="0"/>
                <w:sz w:val="24"/>
              </w:rPr>
            </w:pPr>
            <w:r>
              <w:rPr>
                <w:rFonts w:hint="eastAsia" w:ascii="宋体" w:hAnsi="宋体" w:cs="宋体"/>
                <w:kern w:val="0"/>
                <w:sz w:val="24"/>
              </w:rPr>
              <w:t>弱电线缆</w:t>
            </w:r>
          </w:p>
        </w:tc>
        <w:tc>
          <w:tcPr>
            <w:tcW w:w="2560" w:type="dxa"/>
            <w:tcBorders>
              <w:top w:val="nil"/>
              <w:left w:val="nil"/>
              <w:bottom w:val="single" w:color="auto" w:sz="4" w:space="0"/>
              <w:right w:val="single" w:color="auto" w:sz="4" w:space="0"/>
            </w:tcBorders>
            <w:shd w:val="clear" w:color="auto" w:fill="auto"/>
            <w:vAlign w:val="center"/>
          </w:tcPr>
          <w:p w14:paraId="0D994DFF">
            <w:pPr>
              <w:widowControl/>
              <w:jc w:val="center"/>
              <w:rPr>
                <w:rFonts w:ascii="宋体" w:hAnsi="宋体" w:cs="宋体"/>
                <w:kern w:val="0"/>
                <w:sz w:val="24"/>
              </w:rPr>
            </w:pPr>
            <w:r>
              <w:rPr>
                <w:rFonts w:hint="eastAsia" w:ascii="宋体" w:hAnsi="宋体" w:cs="宋体"/>
                <w:kern w:val="0"/>
                <w:sz w:val="24"/>
              </w:rPr>
              <w:t>办公室/会议室</w:t>
            </w:r>
          </w:p>
        </w:tc>
        <w:tc>
          <w:tcPr>
            <w:tcW w:w="3780" w:type="dxa"/>
            <w:tcBorders>
              <w:top w:val="nil"/>
              <w:left w:val="nil"/>
              <w:bottom w:val="single" w:color="auto" w:sz="4" w:space="0"/>
              <w:right w:val="single" w:color="auto" w:sz="4" w:space="0"/>
            </w:tcBorders>
            <w:shd w:val="clear" w:color="auto" w:fill="auto"/>
            <w:vAlign w:val="center"/>
          </w:tcPr>
          <w:p w14:paraId="4D51DEFE">
            <w:pPr>
              <w:widowControl/>
              <w:jc w:val="center"/>
              <w:rPr>
                <w:rFonts w:ascii="宋体" w:hAnsi="宋体" w:cs="宋体"/>
                <w:kern w:val="0"/>
                <w:sz w:val="24"/>
              </w:rPr>
            </w:pPr>
            <w:r>
              <w:rPr>
                <w:rFonts w:hint="eastAsia" w:ascii="宋体" w:hAnsi="宋体" w:cs="宋体"/>
                <w:kern w:val="0"/>
                <w:sz w:val="24"/>
              </w:rPr>
              <w:t>绿联、安普华云、普联</w:t>
            </w:r>
          </w:p>
        </w:tc>
      </w:tr>
      <w:tr w14:paraId="69F57DA8">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24E87A8">
            <w:pPr>
              <w:widowControl/>
              <w:jc w:val="center"/>
              <w:rPr>
                <w:rFonts w:ascii="宋体" w:hAnsi="宋体" w:cs="宋体"/>
                <w:kern w:val="0"/>
                <w:sz w:val="24"/>
              </w:rPr>
            </w:pPr>
            <w:r>
              <w:rPr>
                <w:rFonts w:hint="eastAsia" w:ascii="宋体" w:hAnsi="宋体" w:cs="宋体"/>
                <w:kern w:val="0"/>
                <w:sz w:val="24"/>
              </w:rPr>
              <w:t>13</w:t>
            </w:r>
          </w:p>
        </w:tc>
        <w:tc>
          <w:tcPr>
            <w:tcW w:w="2580" w:type="dxa"/>
            <w:tcBorders>
              <w:top w:val="nil"/>
              <w:left w:val="nil"/>
              <w:bottom w:val="single" w:color="auto" w:sz="4" w:space="0"/>
              <w:right w:val="single" w:color="auto" w:sz="4" w:space="0"/>
            </w:tcBorders>
            <w:shd w:val="clear" w:color="auto" w:fill="auto"/>
            <w:vAlign w:val="center"/>
          </w:tcPr>
          <w:p w14:paraId="29B71804">
            <w:pPr>
              <w:widowControl/>
              <w:jc w:val="center"/>
              <w:rPr>
                <w:rFonts w:ascii="宋体" w:hAnsi="宋体" w:cs="宋体"/>
                <w:kern w:val="0"/>
                <w:sz w:val="24"/>
              </w:rPr>
            </w:pPr>
            <w:r>
              <w:rPr>
                <w:rFonts w:hint="eastAsia" w:ascii="宋体" w:hAnsi="宋体" w:cs="宋体"/>
                <w:kern w:val="0"/>
                <w:sz w:val="24"/>
              </w:rPr>
              <w:t>交换机</w:t>
            </w:r>
          </w:p>
        </w:tc>
        <w:tc>
          <w:tcPr>
            <w:tcW w:w="2560" w:type="dxa"/>
            <w:tcBorders>
              <w:top w:val="nil"/>
              <w:left w:val="nil"/>
              <w:bottom w:val="single" w:color="auto" w:sz="4" w:space="0"/>
              <w:right w:val="single" w:color="auto" w:sz="4" w:space="0"/>
            </w:tcBorders>
            <w:shd w:val="clear" w:color="auto" w:fill="auto"/>
            <w:vAlign w:val="center"/>
          </w:tcPr>
          <w:p w14:paraId="70211F14">
            <w:pPr>
              <w:widowControl/>
              <w:jc w:val="center"/>
              <w:rPr>
                <w:rFonts w:ascii="宋体" w:hAnsi="宋体" w:cs="宋体"/>
                <w:kern w:val="0"/>
                <w:sz w:val="24"/>
              </w:rPr>
            </w:pPr>
            <w:r>
              <w:rPr>
                <w:rFonts w:hint="eastAsia" w:ascii="宋体" w:hAnsi="宋体" w:cs="宋体"/>
                <w:kern w:val="0"/>
                <w:sz w:val="24"/>
              </w:rPr>
              <w:t>机房</w:t>
            </w:r>
          </w:p>
        </w:tc>
        <w:tc>
          <w:tcPr>
            <w:tcW w:w="3780" w:type="dxa"/>
            <w:tcBorders>
              <w:top w:val="nil"/>
              <w:left w:val="nil"/>
              <w:bottom w:val="single" w:color="auto" w:sz="4" w:space="0"/>
              <w:right w:val="single" w:color="auto" w:sz="4" w:space="0"/>
            </w:tcBorders>
            <w:shd w:val="clear" w:color="auto" w:fill="auto"/>
            <w:vAlign w:val="center"/>
          </w:tcPr>
          <w:p w14:paraId="41B22300">
            <w:pPr>
              <w:widowControl/>
              <w:jc w:val="center"/>
              <w:rPr>
                <w:rFonts w:ascii="宋体" w:hAnsi="宋体" w:cs="宋体"/>
                <w:kern w:val="0"/>
                <w:sz w:val="24"/>
              </w:rPr>
            </w:pPr>
            <w:r>
              <w:rPr>
                <w:rFonts w:hint="eastAsia" w:ascii="宋体" w:hAnsi="宋体" w:cs="宋体"/>
                <w:kern w:val="0"/>
                <w:sz w:val="24"/>
              </w:rPr>
              <w:t>华为、华三、普联</w:t>
            </w:r>
          </w:p>
        </w:tc>
      </w:tr>
      <w:tr w14:paraId="6EF007FF">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9E27AE3">
            <w:pPr>
              <w:widowControl/>
              <w:jc w:val="center"/>
              <w:rPr>
                <w:rFonts w:ascii="宋体" w:hAnsi="宋体" w:cs="宋体"/>
                <w:kern w:val="0"/>
                <w:sz w:val="24"/>
              </w:rPr>
            </w:pPr>
            <w:r>
              <w:rPr>
                <w:rFonts w:hint="eastAsia" w:ascii="宋体" w:hAnsi="宋体" w:cs="宋体"/>
                <w:kern w:val="0"/>
                <w:sz w:val="24"/>
              </w:rPr>
              <w:t>14</w:t>
            </w:r>
          </w:p>
        </w:tc>
        <w:tc>
          <w:tcPr>
            <w:tcW w:w="2580" w:type="dxa"/>
            <w:tcBorders>
              <w:top w:val="nil"/>
              <w:left w:val="nil"/>
              <w:bottom w:val="single" w:color="auto" w:sz="4" w:space="0"/>
              <w:right w:val="single" w:color="auto" w:sz="4" w:space="0"/>
            </w:tcBorders>
            <w:shd w:val="clear" w:color="auto" w:fill="auto"/>
            <w:vAlign w:val="center"/>
          </w:tcPr>
          <w:p w14:paraId="50911CAC">
            <w:pPr>
              <w:widowControl/>
              <w:jc w:val="center"/>
              <w:rPr>
                <w:rFonts w:ascii="宋体" w:hAnsi="宋体" w:cs="宋体"/>
                <w:kern w:val="0"/>
                <w:sz w:val="24"/>
              </w:rPr>
            </w:pPr>
            <w:r>
              <w:rPr>
                <w:rFonts w:hint="eastAsia" w:ascii="宋体" w:hAnsi="宋体" w:cs="宋体"/>
                <w:kern w:val="0"/>
                <w:sz w:val="24"/>
              </w:rPr>
              <w:t>机柜</w:t>
            </w:r>
          </w:p>
        </w:tc>
        <w:tc>
          <w:tcPr>
            <w:tcW w:w="2560" w:type="dxa"/>
            <w:tcBorders>
              <w:top w:val="nil"/>
              <w:left w:val="nil"/>
              <w:bottom w:val="single" w:color="auto" w:sz="4" w:space="0"/>
              <w:right w:val="single" w:color="auto" w:sz="4" w:space="0"/>
            </w:tcBorders>
            <w:shd w:val="clear" w:color="auto" w:fill="auto"/>
            <w:vAlign w:val="center"/>
          </w:tcPr>
          <w:p w14:paraId="6A05D3E4">
            <w:pPr>
              <w:widowControl/>
              <w:jc w:val="center"/>
              <w:rPr>
                <w:rFonts w:ascii="宋体" w:hAnsi="宋体" w:cs="宋体"/>
                <w:kern w:val="0"/>
                <w:sz w:val="24"/>
              </w:rPr>
            </w:pPr>
            <w:r>
              <w:rPr>
                <w:rFonts w:hint="eastAsia" w:ascii="宋体" w:hAnsi="宋体" w:cs="宋体"/>
                <w:kern w:val="0"/>
                <w:sz w:val="24"/>
              </w:rPr>
              <w:t>机房</w:t>
            </w:r>
          </w:p>
        </w:tc>
        <w:tc>
          <w:tcPr>
            <w:tcW w:w="3780" w:type="dxa"/>
            <w:tcBorders>
              <w:top w:val="nil"/>
              <w:left w:val="nil"/>
              <w:bottom w:val="single" w:color="auto" w:sz="4" w:space="0"/>
              <w:right w:val="single" w:color="auto" w:sz="4" w:space="0"/>
            </w:tcBorders>
            <w:shd w:val="clear" w:color="auto" w:fill="auto"/>
            <w:vAlign w:val="center"/>
          </w:tcPr>
          <w:p w14:paraId="7C9EB0C2">
            <w:pPr>
              <w:widowControl/>
              <w:jc w:val="center"/>
              <w:rPr>
                <w:rFonts w:ascii="宋体" w:hAnsi="宋体" w:cs="宋体"/>
                <w:kern w:val="0"/>
                <w:sz w:val="24"/>
              </w:rPr>
            </w:pPr>
            <w:r>
              <w:rPr>
                <w:rFonts w:hint="eastAsia" w:ascii="宋体" w:hAnsi="宋体" w:cs="宋体"/>
                <w:kern w:val="0"/>
                <w:sz w:val="24"/>
              </w:rPr>
              <w:t>大唐保镖、图腾、鑫升</w:t>
            </w:r>
          </w:p>
        </w:tc>
      </w:tr>
      <w:tr w14:paraId="78B4C563">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96FB5DB">
            <w:pPr>
              <w:widowControl/>
              <w:jc w:val="center"/>
              <w:rPr>
                <w:rFonts w:ascii="宋体" w:hAnsi="宋体" w:cs="宋体"/>
                <w:kern w:val="0"/>
                <w:sz w:val="24"/>
              </w:rPr>
            </w:pPr>
            <w:r>
              <w:rPr>
                <w:rFonts w:hint="eastAsia" w:ascii="宋体" w:hAnsi="宋体" w:cs="宋体"/>
                <w:kern w:val="0"/>
                <w:sz w:val="24"/>
              </w:rPr>
              <w:t>15</w:t>
            </w:r>
          </w:p>
        </w:tc>
        <w:tc>
          <w:tcPr>
            <w:tcW w:w="2580" w:type="dxa"/>
            <w:tcBorders>
              <w:top w:val="nil"/>
              <w:left w:val="nil"/>
              <w:bottom w:val="single" w:color="auto" w:sz="4" w:space="0"/>
              <w:right w:val="single" w:color="auto" w:sz="4" w:space="0"/>
            </w:tcBorders>
            <w:shd w:val="clear" w:color="auto" w:fill="auto"/>
            <w:vAlign w:val="center"/>
          </w:tcPr>
          <w:p w14:paraId="1DA03B8C">
            <w:pPr>
              <w:widowControl/>
              <w:jc w:val="center"/>
              <w:rPr>
                <w:rFonts w:ascii="宋体" w:hAnsi="宋体" w:cs="宋体"/>
                <w:kern w:val="0"/>
                <w:sz w:val="24"/>
              </w:rPr>
            </w:pPr>
            <w:r>
              <w:rPr>
                <w:rFonts w:hint="eastAsia" w:ascii="宋体" w:hAnsi="宋体" w:cs="宋体"/>
                <w:kern w:val="0"/>
                <w:sz w:val="24"/>
              </w:rPr>
              <w:t>门禁系统</w:t>
            </w:r>
          </w:p>
        </w:tc>
        <w:tc>
          <w:tcPr>
            <w:tcW w:w="2560" w:type="dxa"/>
            <w:tcBorders>
              <w:top w:val="nil"/>
              <w:left w:val="nil"/>
              <w:bottom w:val="single" w:color="auto" w:sz="4" w:space="0"/>
              <w:right w:val="single" w:color="auto" w:sz="4" w:space="0"/>
            </w:tcBorders>
            <w:shd w:val="clear" w:color="auto" w:fill="auto"/>
            <w:vAlign w:val="center"/>
          </w:tcPr>
          <w:p w14:paraId="27192B0D">
            <w:pPr>
              <w:widowControl/>
              <w:jc w:val="center"/>
              <w:rPr>
                <w:rFonts w:ascii="宋体" w:hAnsi="宋体" w:cs="宋体"/>
                <w:kern w:val="0"/>
                <w:sz w:val="24"/>
              </w:rPr>
            </w:pPr>
            <w:r>
              <w:rPr>
                <w:rFonts w:hint="eastAsia" w:ascii="宋体" w:hAnsi="宋体" w:cs="宋体"/>
                <w:kern w:val="0"/>
                <w:sz w:val="24"/>
              </w:rPr>
              <w:t>电梯楼梯入口</w:t>
            </w:r>
          </w:p>
        </w:tc>
        <w:tc>
          <w:tcPr>
            <w:tcW w:w="3780" w:type="dxa"/>
            <w:tcBorders>
              <w:top w:val="nil"/>
              <w:left w:val="nil"/>
              <w:bottom w:val="single" w:color="auto" w:sz="4" w:space="0"/>
              <w:right w:val="single" w:color="auto" w:sz="4" w:space="0"/>
            </w:tcBorders>
            <w:shd w:val="clear" w:color="auto" w:fill="auto"/>
            <w:vAlign w:val="center"/>
          </w:tcPr>
          <w:p w14:paraId="0B954640">
            <w:pPr>
              <w:widowControl/>
              <w:jc w:val="center"/>
              <w:rPr>
                <w:rFonts w:ascii="宋体" w:hAnsi="宋体" w:cs="宋体"/>
                <w:kern w:val="0"/>
                <w:sz w:val="24"/>
              </w:rPr>
            </w:pPr>
            <w:r>
              <w:rPr>
                <w:rFonts w:hint="eastAsia" w:ascii="宋体" w:hAnsi="宋体" w:cs="宋体"/>
                <w:kern w:val="0"/>
                <w:sz w:val="24"/>
              </w:rPr>
              <w:t>海康威视、普联、萤石</w:t>
            </w:r>
          </w:p>
        </w:tc>
      </w:tr>
      <w:tr w14:paraId="6B8E0C97">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A055363">
            <w:pPr>
              <w:widowControl/>
              <w:jc w:val="center"/>
              <w:rPr>
                <w:rFonts w:ascii="宋体" w:hAnsi="宋体" w:cs="宋体"/>
                <w:kern w:val="0"/>
                <w:sz w:val="24"/>
              </w:rPr>
            </w:pPr>
            <w:r>
              <w:rPr>
                <w:rFonts w:hint="eastAsia" w:ascii="宋体" w:hAnsi="宋体" w:cs="宋体"/>
                <w:kern w:val="0"/>
                <w:sz w:val="24"/>
              </w:rPr>
              <w:t>16</w:t>
            </w:r>
          </w:p>
        </w:tc>
        <w:tc>
          <w:tcPr>
            <w:tcW w:w="2580" w:type="dxa"/>
            <w:tcBorders>
              <w:top w:val="nil"/>
              <w:left w:val="nil"/>
              <w:bottom w:val="single" w:color="auto" w:sz="4" w:space="0"/>
              <w:right w:val="single" w:color="auto" w:sz="4" w:space="0"/>
            </w:tcBorders>
            <w:shd w:val="clear" w:color="auto" w:fill="auto"/>
            <w:vAlign w:val="center"/>
          </w:tcPr>
          <w:p w14:paraId="495CD082">
            <w:pPr>
              <w:widowControl/>
              <w:jc w:val="center"/>
              <w:rPr>
                <w:rFonts w:ascii="宋体" w:hAnsi="宋体" w:cs="宋体"/>
                <w:kern w:val="0"/>
                <w:sz w:val="24"/>
              </w:rPr>
            </w:pPr>
            <w:r>
              <w:rPr>
                <w:rFonts w:hint="eastAsia" w:ascii="宋体" w:hAnsi="宋体" w:cs="宋体"/>
                <w:kern w:val="0"/>
                <w:sz w:val="24"/>
              </w:rPr>
              <w:t>开关</w:t>
            </w:r>
          </w:p>
        </w:tc>
        <w:tc>
          <w:tcPr>
            <w:tcW w:w="2560" w:type="dxa"/>
            <w:tcBorders>
              <w:top w:val="nil"/>
              <w:left w:val="nil"/>
              <w:bottom w:val="single" w:color="auto" w:sz="4" w:space="0"/>
              <w:right w:val="single" w:color="auto" w:sz="4" w:space="0"/>
            </w:tcBorders>
            <w:shd w:val="clear" w:color="auto" w:fill="auto"/>
            <w:vAlign w:val="center"/>
          </w:tcPr>
          <w:p w14:paraId="08B7F960">
            <w:pPr>
              <w:widowControl/>
              <w:jc w:val="center"/>
              <w:rPr>
                <w:rFonts w:ascii="宋体" w:hAnsi="宋体" w:cs="宋体"/>
                <w:kern w:val="0"/>
                <w:sz w:val="24"/>
              </w:rPr>
            </w:pPr>
            <w:r>
              <w:rPr>
                <w:rFonts w:hint="eastAsia" w:ascii="宋体" w:hAnsi="宋体" w:cs="宋体"/>
                <w:kern w:val="0"/>
                <w:sz w:val="24"/>
              </w:rPr>
              <w:t>全区域</w:t>
            </w:r>
          </w:p>
        </w:tc>
        <w:tc>
          <w:tcPr>
            <w:tcW w:w="3780" w:type="dxa"/>
            <w:tcBorders>
              <w:top w:val="nil"/>
              <w:left w:val="nil"/>
              <w:bottom w:val="single" w:color="auto" w:sz="4" w:space="0"/>
              <w:right w:val="single" w:color="auto" w:sz="4" w:space="0"/>
            </w:tcBorders>
            <w:shd w:val="clear" w:color="auto" w:fill="auto"/>
            <w:vAlign w:val="center"/>
          </w:tcPr>
          <w:p w14:paraId="14E68BCE">
            <w:pPr>
              <w:widowControl/>
              <w:jc w:val="center"/>
              <w:rPr>
                <w:rFonts w:ascii="宋体" w:hAnsi="宋体" w:cs="宋体"/>
                <w:kern w:val="0"/>
                <w:sz w:val="24"/>
              </w:rPr>
            </w:pPr>
            <w:r>
              <w:rPr>
                <w:rFonts w:hint="eastAsia" w:ascii="宋体" w:hAnsi="宋体" w:cs="宋体"/>
                <w:kern w:val="0"/>
                <w:sz w:val="24"/>
              </w:rPr>
              <w:t>西门子、ABB、施耐德</w:t>
            </w:r>
          </w:p>
        </w:tc>
      </w:tr>
      <w:tr w14:paraId="0B1AAC2C">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385E3E2">
            <w:pPr>
              <w:widowControl/>
              <w:jc w:val="center"/>
              <w:rPr>
                <w:rFonts w:ascii="宋体" w:hAnsi="宋体" w:cs="宋体"/>
                <w:kern w:val="0"/>
                <w:sz w:val="24"/>
              </w:rPr>
            </w:pPr>
            <w:r>
              <w:rPr>
                <w:rFonts w:hint="eastAsia" w:ascii="宋体" w:hAnsi="宋体" w:cs="宋体"/>
                <w:kern w:val="0"/>
                <w:sz w:val="24"/>
              </w:rPr>
              <w:t>17</w:t>
            </w:r>
          </w:p>
        </w:tc>
        <w:tc>
          <w:tcPr>
            <w:tcW w:w="2580" w:type="dxa"/>
            <w:tcBorders>
              <w:top w:val="nil"/>
              <w:left w:val="nil"/>
              <w:bottom w:val="single" w:color="auto" w:sz="4" w:space="0"/>
              <w:right w:val="single" w:color="auto" w:sz="4" w:space="0"/>
            </w:tcBorders>
            <w:shd w:val="clear" w:color="auto" w:fill="auto"/>
            <w:vAlign w:val="center"/>
          </w:tcPr>
          <w:p w14:paraId="028425A7">
            <w:pPr>
              <w:widowControl/>
              <w:jc w:val="center"/>
              <w:rPr>
                <w:rFonts w:ascii="宋体" w:hAnsi="宋体" w:cs="宋体"/>
                <w:kern w:val="0"/>
                <w:sz w:val="24"/>
              </w:rPr>
            </w:pPr>
            <w:r>
              <w:rPr>
                <w:rFonts w:hint="eastAsia" w:ascii="宋体" w:hAnsi="宋体" w:cs="宋体"/>
                <w:kern w:val="0"/>
                <w:sz w:val="24"/>
              </w:rPr>
              <w:t>插座</w:t>
            </w:r>
          </w:p>
        </w:tc>
        <w:tc>
          <w:tcPr>
            <w:tcW w:w="2560" w:type="dxa"/>
            <w:tcBorders>
              <w:top w:val="nil"/>
              <w:left w:val="nil"/>
              <w:bottom w:val="single" w:color="auto" w:sz="4" w:space="0"/>
              <w:right w:val="single" w:color="auto" w:sz="4" w:space="0"/>
            </w:tcBorders>
            <w:shd w:val="clear" w:color="auto" w:fill="auto"/>
            <w:vAlign w:val="center"/>
          </w:tcPr>
          <w:p w14:paraId="22A53543">
            <w:pPr>
              <w:widowControl/>
              <w:jc w:val="center"/>
              <w:rPr>
                <w:rFonts w:ascii="宋体" w:hAnsi="宋体" w:cs="宋体"/>
                <w:kern w:val="0"/>
                <w:sz w:val="24"/>
              </w:rPr>
            </w:pPr>
            <w:r>
              <w:rPr>
                <w:rFonts w:hint="eastAsia" w:ascii="宋体" w:hAnsi="宋体" w:cs="宋体"/>
                <w:kern w:val="0"/>
                <w:sz w:val="24"/>
              </w:rPr>
              <w:t>全区域</w:t>
            </w:r>
          </w:p>
        </w:tc>
        <w:tc>
          <w:tcPr>
            <w:tcW w:w="3780" w:type="dxa"/>
            <w:tcBorders>
              <w:top w:val="nil"/>
              <w:left w:val="nil"/>
              <w:bottom w:val="single" w:color="auto" w:sz="4" w:space="0"/>
              <w:right w:val="single" w:color="auto" w:sz="4" w:space="0"/>
            </w:tcBorders>
            <w:shd w:val="clear" w:color="auto" w:fill="auto"/>
            <w:vAlign w:val="center"/>
          </w:tcPr>
          <w:p w14:paraId="36F90AA8">
            <w:pPr>
              <w:widowControl/>
              <w:jc w:val="center"/>
              <w:rPr>
                <w:rFonts w:ascii="宋体" w:hAnsi="宋体" w:cs="宋体"/>
                <w:kern w:val="0"/>
                <w:sz w:val="24"/>
              </w:rPr>
            </w:pPr>
            <w:r>
              <w:rPr>
                <w:rFonts w:hint="eastAsia" w:ascii="宋体" w:hAnsi="宋体" w:cs="宋体"/>
                <w:kern w:val="0"/>
                <w:sz w:val="24"/>
              </w:rPr>
              <w:t>西门子、ABB、施耐德</w:t>
            </w:r>
          </w:p>
        </w:tc>
      </w:tr>
      <w:tr w14:paraId="11338F57">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94BBEFF">
            <w:pPr>
              <w:widowControl/>
              <w:jc w:val="center"/>
              <w:rPr>
                <w:rFonts w:ascii="宋体" w:hAnsi="宋体" w:cs="宋体"/>
                <w:kern w:val="0"/>
                <w:sz w:val="24"/>
              </w:rPr>
            </w:pPr>
            <w:r>
              <w:rPr>
                <w:rFonts w:hint="eastAsia" w:ascii="宋体" w:hAnsi="宋体" w:cs="宋体"/>
                <w:kern w:val="0"/>
                <w:sz w:val="24"/>
              </w:rPr>
              <w:t>18</w:t>
            </w:r>
          </w:p>
        </w:tc>
        <w:tc>
          <w:tcPr>
            <w:tcW w:w="2580" w:type="dxa"/>
            <w:tcBorders>
              <w:top w:val="nil"/>
              <w:left w:val="nil"/>
              <w:bottom w:val="single" w:color="auto" w:sz="4" w:space="0"/>
              <w:right w:val="single" w:color="auto" w:sz="4" w:space="0"/>
            </w:tcBorders>
            <w:shd w:val="clear" w:color="auto" w:fill="auto"/>
            <w:vAlign w:val="center"/>
          </w:tcPr>
          <w:p w14:paraId="09EAFA28">
            <w:pPr>
              <w:widowControl/>
              <w:jc w:val="center"/>
              <w:rPr>
                <w:rFonts w:ascii="宋体" w:hAnsi="宋体" w:cs="宋体"/>
                <w:kern w:val="0"/>
                <w:sz w:val="24"/>
              </w:rPr>
            </w:pPr>
            <w:r>
              <w:rPr>
                <w:rFonts w:hint="eastAsia" w:ascii="宋体" w:hAnsi="宋体" w:cs="宋体"/>
                <w:kern w:val="0"/>
                <w:sz w:val="24"/>
              </w:rPr>
              <w:t>小便池</w:t>
            </w:r>
          </w:p>
        </w:tc>
        <w:tc>
          <w:tcPr>
            <w:tcW w:w="2560" w:type="dxa"/>
            <w:tcBorders>
              <w:top w:val="nil"/>
              <w:left w:val="nil"/>
              <w:bottom w:val="single" w:color="auto" w:sz="4" w:space="0"/>
              <w:right w:val="single" w:color="auto" w:sz="4" w:space="0"/>
            </w:tcBorders>
            <w:shd w:val="clear" w:color="auto" w:fill="auto"/>
            <w:vAlign w:val="center"/>
          </w:tcPr>
          <w:p w14:paraId="168B88E1">
            <w:pPr>
              <w:widowControl/>
              <w:jc w:val="center"/>
              <w:rPr>
                <w:rFonts w:ascii="宋体" w:hAnsi="宋体" w:cs="宋体"/>
                <w:kern w:val="0"/>
                <w:sz w:val="24"/>
              </w:rPr>
            </w:pPr>
            <w:r>
              <w:rPr>
                <w:rFonts w:hint="eastAsia" w:ascii="宋体" w:hAnsi="宋体" w:cs="宋体"/>
                <w:kern w:val="0"/>
                <w:sz w:val="24"/>
              </w:rPr>
              <w:t>卫生间</w:t>
            </w:r>
          </w:p>
        </w:tc>
        <w:tc>
          <w:tcPr>
            <w:tcW w:w="3780" w:type="dxa"/>
            <w:tcBorders>
              <w:top w:val="nil"/>
              <w:left w:val="nil"/>
              <w:bottom w:val="single" w:color="auto" w:sz="4" w:space="0"/>
              <w:right w:val="single" w:color="auto" w:sz="4" w:space="0"/>
            </w:tcBorders>
            <w:shd w:val="clear" w:color="auto" w:fill="auto"/>
            <w:vAlign w:val="center"/>
          </w:tcPr>
          <w:p w14:paraId="020EE9FF">
            <w:pPr>
              <w:widowControl/>
              <w:jc w:val="center"/>
              <w:rPr>
                <w:rFonts w:ascii="宋体" w:hAnsi="宋体" w:cs="宋体"/>
                <w:kern w:val="0"/>
                <w:sz w:val="24"/>
              </w:rPr>
            </w:pPr>
            <w:r>
              <w:rPr>
                <w:rFonts w:hint="eastAsia" w:ascii="宋体" w:hAnsi="宋体" w:cs="宋体"/>
                <w:kern w:val="0"/>
                <w:sz w:val="24"/>
              </w:rPr>
              <w:t>惠达、九牧、箭牌</w:t>
            </w:r>
          </w:p>
        </w:tc>
      </w:tr>
      <w:tr w14:paraId="1B0FD21C">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20EBCD3">
            <w:pPr>
              <w:widowControl/>
              <w:jc w:val="center"/>
              <w:rPr>
                <w:rFonts w:ascii="宋体" w:hAnsi="宋体" w:cs="宋体"/>
                <w:kern w:val="0"/>
                <w:sz w:val="24"/>
              </w:rPr>
            </w:pPr>
            <w:r>
              <w:rPr>
                <w:rFonts w:hint="eastAsia" w:ascii="宋体" w:hAnsi="宋体" w:cs="宋体"/>
                <w:kern w:val="0"/>
                <w:sz w:val="24"/>
              </w:rPr>
              <w:t>19</w:t>
            </w:r>
          </w:p>
        </w:tc>
        <w:tc>
          <w:tcPr>
            <w:tcW w:w="2580" w:type="dxa"/>
            <w:tcBorders>
              <w:top w:val="nil"/>
              <w:left w:val="nil"/>
              <w:bottom w:val="single" w:color="auto" w:sz="4" w:space="0"/>
              <w:right w:val="single" w:color="auto" w:sz="4" w:space="0"/>
            </w:tcBorders>
            <w:shd w:val="clear" w:color="auto" w:fill="auto"/>
            <w:vAlign w:val="center"/>
          </w:tcPr>
          <w:p w14:paraId="0A6EA852">
            <w:pPr>
              <w:widowControl/>
              <w:jc w:val="center"/>
              <w:rPr>
                <w:rFonts w:ascii="宋体" w:hAnsi="宋体" w:cs="宋体"/>
                <w:kern w:val="0"/>
                <w:sz w:val="24"/>
              </w:rPr>
            </w:pPr>
            <w:r>
              <w:rPr>
                <w:rFonts w:hint="eastAsia" w:ascii="宋体" w:hAnsi="宋体" w:cs="宋体"/>
                <w:kern w:val="0"/>
                <w:sz w:val="24"/>
              </w:rPr>
              <w:t>蹲便池</w:t>
            </w:r>
          </w:p>
        </w:tc>
        <w:tc>
          <w:tcPr>
            <w:tcW w:w="2560" w:type="dxa"/>
            <w:tcBorders>
              <w:top w:val="nil"/>
              <w:left w:val="nil"/>
              <w:bottom w:val="single" w:color="auto" w:sz="4" w:space="0"/>
              <w:right w:val="single" w:color="auto" w:sz="4" w:space="0"/>
            </w:tcBorders>
            <w:shd w:val="clear" w:color="auto" w:fill="auto"/>
            <w:vAlign w:val="center"/>
          </w:tcPr>
          <w:p w14:paraId="523C1813">
            <w:pPr>
              <w:widowControl/>
              <w:jc w:val="center"/>
              <w:rPr>
                <w:rFonts w:ascii="宋体" w:hAnsi="宋体" w:cs="宋体"/>
                <w:kern w:val="0"/>
                <w:sz w:val="24"/>
              </w:rPr>
            </w:pPr>
            <w:r>
              <w:rPr>
                <w:rFonts w:hint="eastAsia" w:ascii="宋体" w:hAnsi="宋体" w:cs="宋体"/>
                <w:kern w:val="0"/>
                <w:sz w:val="24"/>
              </w:rPr>
              <w:t>卫生间</w:t>
            </w:r>
          </w:p>
        </w:tc>
        <w:tc>
          <w:tcPr>
            <w:tcW w:w="3780" w:type="dxa"/>
            <w:tcBorders>
              <w:top w:val="nil"/>
              <w:left w:val="nil"/>
              <w:bottom w:val="single" w:color="auto" w:sz="4" w:space="0"/>
              <w:right w:val="single" w:color="auto" w:sz="4" w:space="0"/>
            </w:tcBorders>
            <w:shd w:val="clear" w:color="auto" w:fill="auto"/>
            <w:vAlign w:val="center"/>
          </w:tcPr>
          <w:p w14:paraId="667469E8">
            <w:pPr>
              <w:widowControl/>
              <w:jc w:val="center"/>
              <w:rPr>
                <w:rFonts w:ascii="宋体" w:hAnsi="宋体" w:cs="宋体"/>
                <w:kern w:val="0"/>
                <w:sz w:val="24"/>
              </w:rPr>
            </w:pPr>
            <w:r>
              <w:rPr>
                <w:rFonts w:hint="eastAsia" w:ascii="宋体" w:hAnsi="宋体" w:cs="宋体"/>
                <w:kern w:val="0"/>
                <w:sz w:val="24"/>
              </w:rPr>
              <w:t>惠达、九牧、箭牌</w:t>
            </w:r>
          </w:p>
        </w:tc>
      </w:tr>
      <w:tr w14:paraId="0C34A1FF">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8FC3411">
            <w:pPr>
              <w:widowControl/>
              <w:jc w:val="center"/>
              <w:rPr>
                <w:rFonts w:ascii="宋体" w:hAnsi="宋体" w:cs="宋体"/>
                <w:kern w:val="0"/>
                <w:sz w:val="24"/>
              </w:rPr>
            </w:pPr>
            <w:r>
              <w:rPr>
                <w:rFonts w:hint="eastAsia" w:ascii="宋体" w:hAnsi="宋体" w:cs="宋体"/>
                <w:kern w:val="0"/>
                <w:sz w:val="24"/>
              </w:rPr>
              <w:t>20</w:t>
            </w:r>
          </w:p>
        </w:tc>
        <w:tc>
          <w:tcPr>
            <w:tcW w:w="2580" w:type="dxa"/>
            <w:tcBorders>
              <w:top w:val="nil"/>
              <w:left w:val="nil"/>
              <w:bottom w:val="single" w:color="auto" w:sz="4" w:space="0"/>
              <w:right w:val="single" w:color="auto" w:sz="4" w:space="0"/>
            </w:tcBorders>
            <w:shd w:val="clear" w:color="auto" w:fill="auto"/>
            <w:vAlign w:val="center"/>
          </w:tcPr>
          <w:p w14:paraId="0E665D5A">
            <w:pPr>
              <w:widowControl/>
              <w:jc w:val="center"/>
              <w:rPr>
                <w:rFonts w:ascii="宋体" w:hAnsi="宋体" w:cs="宋体"/>
                <w:kern w:val="0"/>
                <w:sz w:val="24"/>
              </w:rPr>
            </w:pPr>
            <w:r>
              <w:rPr>
                <w:rFonts w:hint="eastAsia" w:ascii="宋体" w:hAnsi="宋体" w:cs="宋体"/>
                <w:kern w:val="0"/>
                <w:sz w:val="24"/>
              </w:rPr>
              <w:t>洗手池</w:t>
            </w:r>
          </w:p>
        </w:tc>
        <w:tc>
          <w:tcPr>
            <w:tcW w:w="2560" w:type="dxa"/>
            <w:tcBorders>
              <w:top w:val="nil"/>
              <w:left w:val="nil"/>
              <w:bottom w:val="single" w:color="auto" w:sz="4" w:space="0"/>
              <w:right w:val="single" w:color="auto" w:sz="4" w:space="0"/>
            </w:tcBorders>
            <w:shd w:val="clear" w:color="auto" w:fill="auto"/>
            <w:vAlign w:val="center"/>
          </w:tcPr>
          <w:p w14:paraId="0817EBC3">
            <w:pPr>
              <w:widowControl/>
              <w:jc w:val="center"/>
              <w:rPr>
                <w:rFonts w:ascii="宋体" w:hAnsi="宋体" w:cs="宋体"/>
                <w:kern w:val="0"/>
                <w:sz w:val="24"/>
              </w:rPr>
            </w:pPr>
            <w:r>
              <w:rPr>
                <w:rFonts w:hint="eastAsia" w:ascii="宋体" w:hAnsi="宋体" w:cs="宋体"/>
                <w:kern w:val="0"/>
                <w:sz w:val="24"/>
              </w:rPr>
              <w:t>卫生间</w:t>
            </w:r>
          </w:p>
        </w:tc>
        <w:tc>
          <w:tcPr>
            <w:tcW w:w="3780" w:type="dxa"/>
            <w:tcBorders>
              <w:top w:val="nil"/>
              <w:left w:val="nil"/>
              <w:bottom w:val="single" w:color="auto" w:sz="4" w:space="0"/>
              <w:right w:val="single" w:color="auto" w:sz="4" w:space="0"/>
            </w:tcBorders>
            <w:shd w:val="clear" w:color="auto" w:fill="auto"/>
            <w:vAlign w:val="center"/>
          </w:tcPr>
          <w:p w14:paraId="18BC55CF">
            <w:pPr>
              <w:widowControl/>
              <w:jc w:val="center"/>
              <w:rPr>
                <w:rFonts w:ascii="宋体" w:hAnsi="宋体" w:cs="宋体"/>
                <w:kern w:val="0"/>
                <w:sz w:val="24"/>
              </w:rPr>
            </w:pPr>
            <w:r>
              <w:rPr>
                <w:rFonts w:hint="eastAsia" w:ascii="宋体" w:hAnsi="宋体" w:cs="宋体"/>
                <w:kern w:val="0"/>
                <w:sz w:val="24"/>
              </w:rPr>
              <w:t>惠达、九牧、箭牌</w:t>
            </w:r>
          </w:p>
        </w:tc>
      </w:tr>
      <w:tr w14:paraId="0FD648C8">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A37652A">
            <w:pPr>
              <w:widowControl/>
              <w:jc w:val="center"/>
              <w:rPr>
                <w:rFonts w:ascii="宋体" w:hAnsi="宋体" w:cs="宋体"/>
                <w:kern w:val="0"/>
                <w:sz w:val="24"/>
              </w:rPr>
            </w:pPr>
            <w:r>
              <w:rPr>
                <w:rFonts w:hint="eastAsia" w:ascii="宋体" w:hAnsi="宋体" w:cs="宋体"/>
                <w:kern w:val="0"/>
                <w:sz w:val="24"/>
              </w:rPr>
              <w:t>21</w:t>
            </w:r>
          </w:p>
        </w:tc>
        <w:tc>
          <w:tcPr>
            <w:tcW w:w="2580" w:type="dxa"/>
            <w:tcBorders>
              <w:top w:val="nil"/>
              <w:left w:val="nil"/>
              <w:bottom w:val="single" w:color="auto" w:sz="4" w:space="0"/>
              <w:right w:val="single" w:color="auto" w:sz="4" w:space="0"/>
            </w:tcBorders>
            <w:shd w:val="clear" w:color="auto" w:fill="auto"/>
            <w:vAlign w:val="center"/>
          </w:tcPr>
          <w:p w14:paraId="1A30D892">
            <w:pPr>
              <w:widowControl/>
              <w:jc w:val="center"/>
              <w:rPr>
                <w:rFonts w:ascii="宋体" w:hAnsi="宋体" w:cs="宋体"/>
                <w:kern w:val="0"/>
                <w:sz w:val="24"/>
              </w:rPr>
            </w:pPr>
            <w:r>
              <w:rPr>
                <w:rFonts w:hint="eastAsia" w:ascii="宋体" w:hAnsi="宋体" w:cs="宋体"/>
                <w:kern w:val="0"/>
                <w:sz w:val="24"/>
              </w:rPr>
              <w:t>水龙头</w:t>
            </w:r>
          </w:p>
        </w:tc>
        <w:tc>
          <w:tcPr>
            <w:tcW w:w="2560" w:type="dxa"/>
            <w:tcBorders>
              <w:top w:val="nil"/>
              <w:left w:val="nil"/>
              <w:bottom w:val="single" w:color="auto" w:sz="4" w:space="0"/>
              <w:right w:val="single" w:color="auto" w:sz="4" w:space="0"/>
            </w:tcBorders>
            <w:shd w:val="clear" w:color="auto" w:fill="auto"/>
            <w:vAlign w:val="center"/>
          </w:tcPr>
          <w:p w14:paraId="5EF12A7C">
            <w:pPr>
              <w:widowControl/>
              <w:jc w:val="center"/>
              <w:rPr>
                <w:rFonts w:ascii="宋体" w:hAnsi="宋体" w:cs="宋体"/>
                <w:kern w:val="0"/>
                <w:sz w:val="24"/>
              </w:rPr>
            </w:pPr>
            <w:r>
              <w:rPr>
                <w:rFonts w:hint="eastAsia" w:ascii="宋体" w:hAnsi="宋体" w:cs="宋体"/>
                <w:kern w:val="0"/>
                <w:sz w:val="24"/>
              </w:rPr>
              <w:t>卫生间</w:t>
            </w:r>
          </w:p>
        </w:tc>
        <w:tc>
          <w:tcPr>
            <w:tcW w:w="3780" w:type="dxa"/>
            <w:tcBorders>
              <w:top w:val="nil"/>
              <w:left w:val="nil"/>
              <w:bottom w:val="single" w:color="auto" w:sz="4" w:space="0"/>
              <w:right w:val="single" w:color="auto" w:sz="4" w:space="0"/>
            </w:tcBorders>
            <w:shd w:val="clear" w:color="auto" w:fill="auto"/>
            <w:vAlign w:val="center"/>
          </w:tcPr>
          <w:p w14:paraId="64F7C1E5">
            <w:pPr>
              <w:widowControl/>
              <w:jc w:val="center"/>
              <w:rPr>
                <w:rFonts w:ascii="宋体" w:hAnsi="宋体" w:cs="宋体"/>
                <w:kern w:val="0"/>
                <w:sz w:val="24"/>
              </w:rPr>
            </w:pPr>
            <w:r>
              <w:rPr>
                <w:rFonts w:hint="eastAsia" w:ascii="宋体" w:hAnsi="宋体" w:cs="宋体"/>
                <w:kern w:val="0"/>
                <w:sz w:val="24"/>
              </w:rPr>
              <w:t>九牧、潜水艇、恒洁</w:t>
            </w:r>
          </w:p>
        </w:tc>
      </w:tr>
      <w:tr w14:paraId="3511218D">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AB2EB49">
            <w:pPr>
              <w:widowControl/>
              <w:jc w:val="center"/>
              <w:rPr>
                <w:rFonts w:ascii="宋体" w:hAnsi="宋体" w:cs="宋体"/>
                <w:kern w:val="0"/>
                <w:sz w:val="24"/>
              </w:rPr>
            </w:pPr>
            <w:r>
              <w:rPr>
                <w:rFonts w:hint="eastAsia" w:ascii="宋体" w:hAnsi="宋体" w:cs="宋体"/>
                <w:kern w:val="0"/>
                <w:sz w:val="24"/>
              </w:rPr>
              <w:t>22</w:t>
            </w:r>
          </w:p>
        </w:tc>
        <w:tc>
          <w:tcPr>
            <w:tcW w:w="2580" w:type="dxa"/>
            <w:tcBorders>
              <w:top w:val="nil"/>
              <w:left w:val="nil"/>
              <w:bottom w:val="single" w:color="auto" w:sz="4" w:space="0"/>
              <w:right w:val="single" w:color="auto" w:sz="4" w:space="0"/>
            </w:tcBorders>
            <w:shd w:val="clear" w:color="auto" w:fill="auto"/>
            <w:vAlign w:val="center"/>
          </w:tcPr>
          <w:p w14:paraId="2CF92610">
            <w:pPr>
              <w:widowControl/>
              <w:jc w:val="center"/>
              <w:rPr>
                <w:rFonts w:ascii="宋体" w:hAnsi="宋体" w:cs="宋体"/>
                <w:kern w:val="0"/>
                <w:sz w:val="24"/>
              </w:rPr>
            </w:pPr>
            <w:r>
              <w:rPr>
                <w:rFonts w:hint="eastAsia" w:ascii="宋体" w:hAnsi="宋体" w:cs="宋体"/>
                <w:kern w:val="0"/>
                <w:sz w:val="24"/>
              </w:rPr>
              <w:t>小厨宝</w:t>
            </w:r>
          </w:p>
        </w:tc>
        <w:tc>
          <w:tcPr>
            <w:tcW w:w="2560" w:type="dxa"/>
            <w:tcBorders>
              <w:top w:val="nil"/>
              <w:left w:val="nil"/>
              <w:bottom w:val="single" w:color="auto" w:sz="4" w:space="0"/>
              <w:right w:val="single" w:color="auto" w:sz="4" w:space="0"/>
            </w:tcBorders>
            <w:shd w:val="clear" w:color="auto" w:fill="auto"/>
            <w:vAlign w:val="center"/>
          </w:tcPr>
          <w:p w14:paraId="6D3605C8">
            <w:pPr>
              <w:widowControl/>
              <w:jc w:val="center"/>
              <w:rPr>
                <w:rFonts w:ascii="宋体" w:hAnsi="宋体" w:cs="宋体"/>
                <w:kern w:val="0"/>
                <w:sz w:val="24"/>
              </w:rPr>
            </w:pPr>
            <w:r>
              <w:rPr>
                <w:rFonts w:hint="eastAsia" w:ascii="宋体" w:hAnsi="宋体" w:cs="宋体"/>
                <w:kern w:val="0"/>
                <w:sz w:val="24"/>
              </w:rPr>
              <w:t>卫生间</w:t>
            </w:r>
          </w:p>
        </w:tc>
        <w:tc>
          <w:tcPr>
            <w:tcW w:w="3780" w:type="dxa"/>
            <w:tcBorders>
              <w:top w:val="nil"/>
              <w:left w:val="nil"/>
              <w:bottom w:val="single" w:color="auto" w:sz="4" w:space="0"/>
              <w:right w:val="single" w:color="auto" w:sz="4" w:space="0"/>
            </w:tcBorders>
            <w:shd w:val="clear" w:color="auto" w:fill="auto"/>
            <w:vAlign w:val="center"/>
          </w:tcPr>
          <w:p w14:paraId="4C88BEEB">
            <w:pPr>
              <w:widowControl/>
              <w:jc w:val="center"/>
              <w:rPr>
                <w:rFonts w:ascii="宋体" w:hAnsi="宋体" w:cs="宋体"/>
                <w:kern w:val="0"/>
                <w:sz w:val="24"/>
              </w:rPr>
            </w:pPr>
            <w:r>
              <w:rPr>
                <w:rFonts w:hint="eastAsia" w:ascii="宋体" w:hAnsi="宋体" w:cs="宋体"/>
                <w:kern w:val="0"/>
                <w:sz w:val="24"/>
              </w:rPr>
              <w:t>海尔、美的、苏泊尔</w:t>
            </w:r>
          </w:p>
        </w:tc>
      </w:tr>
      <w:tr w14:paraId="7D5774D8">
        <w:tblPrEx>
          <w:tblCellMar>
            <w:top w:w="0" w:type="dxa"/>
            <w:left w:w="108" w:type="dxa"/>
            <w:bottom w:w="0" w:type="dxa"/>
            <w:right w:w="108" w:type="dxa"/>
          </w:tblCellMar>
        </w:tblPrEx>
        <w:trPr>
          <w:trHeight w:val="522"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D40F271">
            <w:pPr>
              <w:widowControl/>
              <w:jc w:val="center"/>
              <w:rPr>
                <w:rFonts w:ascii="宋体" w:hAnsi="宋体" w:cs="宋体"/>
                <w:kern w:val="0"/>
                <w:sz w:val="24"/>
              </w:rPr>
            </w:pPr>
            <w:r>
              <w:rPr>
                <w:rFonts w:hint="eastAsia" w:ascii="宋体" w:hAnsi="宋体" w:cs="宋体"/>
                <w:kern w:val="0"/>
                <w:sz w:val="24"/>
              </w:rPr>
              <w:t>23</w:t>
            </w:r>
          </w:p>
        </w:tc>
        <w:tc>
          <w:tcPr>
            <w:tcW w:w="2580" w:type="dxa"/>
            <w:tcBorders>
              <w:top w:val="nil"/>
              <w:left w:val="nil"/>
              <w:bottom w:val="single" w:color="auto" w:sz="4" w:space="0"/>
              <w:right w:val="single" w:color="auto" w:sz="4" w:space="0"/>
            </w:tcBorders>
            <w:shd w:val="clear" w:color="auto" w:fill="auto"/>
            <w:vAlign w:val="center"/>
          </w:tcPr>
          <w:p w14:paraId="6FA1B92E">
            <w:pPr>
              <w:widowControl/>
              <w:jc w:val="center"/>
              <w:rPr>
                <w:rFonts w:ascii="宋体" w:hAnsi="宋体" w:cs="宋体"/>
                <w:kern w:val="0"/>
                <w:sz w:val="24"/>
              </w:rPr>
            </w:pPr>
            <w:r>
              <w:rPr>
                <w:rFonts w:hint="eastAsia" w:ascii="宋体" w:hAnsi="宋体" w:cs="宋体"/>
                <w:kern w:val="0"/>
                <w:sz w:val="24"/>
              </w:rPr>
              <w:t>防水材料</w:t>
            </w:r>
          </w:p>
        </w:tc>
        <w:tc>
          <w:tcPr>
            <w:tcW w:w="2560" w:type="dxa"/>
            <w:tcBorders>
              <w:top w:val="nil"/>
              <w:left w:val="nil"/>
              <w:bottom w:val="single" w:color="auto" w:sz="4" w:space="0"/>
              <w:right w:val="single" w:color="auto" w:sz="4" w:space="0"/>
            </w:tcBorders>
            <w:shd w:val="clear" w:color="auto" w:fill="auto"/>
            <w:vAlign w:val="center"/>
          </w:tcPr>
          <w:p w14:paraId="2A4A1BB7">
            <w:pPr>
              <w:widowControl/>
              <w:jc w:val="center"/>
              <w:rPr>
                <w:rFonts w:ascii="宋体" w:hAnsi="宋体" w:cs="宋体"/>
                <w:kern w:val="0"/>
                <w:sz w:val="24"/>
              </w:rPr>
            </w:pPr>
            <w:r>
              <w:rPr>
                <w:rFonts w:hint="eastAsia" w:ascii="宋体" w:hAnsi="宋体" w:cs="宋体"/>
                <w:kern w:val="0"/>
                <w:sz w:val="24"/>
              </w:rPr>
              <w:t>卫生间</w:t>
            </w:r>
          </w:p>
        </w:tc>
        <w:tc>
          <w:tcPr>
            <w:tcW w:w="3780" w:type="dxa"/>
            <w:tcBorders>
              <w:top w:val="nil"/>
              <w:left w:val="nil"/>
              <w:bottom w:val="single" w:color="auto" w:sz="4" w:space="0"/>
              <w:right w:val="single" w:color="auto" w:sz="4" w:space="0"/>
            </w:tcBorders>
            <w:shd w:val="clear" w:color="auto" w:fill="auto"/>
            <w:vAlign w:val="center"/>
          </w:tcPr>
          <w:p w14:paraId="7815F4A6">
            <w:pPr>
              <w:widowControl/>
              <w:jc w:val="center"/>
              <w:rPr>
                <w:rFonts w:ascii="宋体" w:hAnsi="宋体" w:cs="宋体"/>
                <w:kern w:val="0"/>
                <w:sz w:val="24"/>
              </w:rPr>
            </w:pPr>
            <w:r>
              <w:rPr>
                <w:rFonts w:hint="eastAsia" w:ascii="宋体" w:hAnsi="宋体" w:cs="宋体"/>
                <w:kern w:val="0"/>
                <w:sz w:val="24"/>
              </w:rPr>
              <w:t>东方雨虹、立邦、永固安</w:t>
            </w:r>
          </w:p>
        </w:tc>
      </w:tr>
    </w:tbl>
    <w:p w14:paraId="6D7DDB06">
      <w:pPr>
        <w:spacing w:line="360" w:lineRule="auto"/>
        <w:contextualSpacing/>
        <w:rPr>
          <w:rFonts w:ascii="宋体" w:hAnsi="宋体"/>
          <w:sz w:val="24"/>
        </w:rPr>
      </w:pPr>
    </w:p>
    <w:p w14:paraId="1E937919">
      <w:pPr>
        <w:spacing w:line="360" w:lineRule="auto"/>
        <w:contextualSpacing/>
        <w:rPr>
          <w:rFonts w:ascii="宋体" w:hAnsi="宋体"/>
          <w:sz w:val="24"/>
        </w:rPr>
      </w:pPr>
      <w:r>
        <w:rPr>
          <w:rFonts w:hint="eastAsia" w:ascii="宋体" w:hAnsi="宋体"/>
          <w:sz w:val="24"/>
        </w:rPr>
        <w:t>6.</w:t>
      </w:r>
      <w:r>
        <w:rPr>
          <w:rFonts w:ascii="宋体" w:hAnsi="宋体"/>
          <w:sz w:val="24"/>
        </w:rPr>
        <w:t>2</w:t>
      </w:r>
      <w:r>
        <w:rPr>
          <w:rFonts w:hint="eastAsia" w:ascii="宋体" w:hAnsi="宋体"/>
          <w:sz w:val="24"/>
        </w:rPr>
        <w:t>承包人需提供4套签字盖章齐全的纸质版竣工图及竣工验收资料，2套电子版资料。</w:t>
      </w:r>
    </w:p>
    <w:p w14:paraId="104870AA">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投标报价说明</w:t>
      </w:r>
    </w:p>
    <w:p w14:paraId="4616EA6C">
      <w:pPr>
        <w:widowControl/>
        <w:spacing w:line="360" w:lineRule="auto"/>
        <w:jc w:val="left"/>
        <w:rPr>
          <w:rFonts w:ascii="宋体" w:hAnsi="宋体"/>
        </w:rPr>
      </w:pPr>
      <w:r>
        <w:rPr>
          <w:rFonts w:hint="eastAsia" w:ascii="宋体" w:hAnsi="宋体" w:cs="宋体"/>
          <w:b/>
          <w:bCs/>
          <w:kern w:val="0"/>
          <w:sz w:val="24"/>
          <w:lang w:bidi="ar"/>
        </w:rPr>
        <w:t xml:space="preserve">7.1 投标报价的依据 </w:t>
      </w:r>
    </w:p>
    <w:p w14:paraId="782C01B4">
      <w:pPr>
        <w:spacing w:line="360" w:lineRule="auto"/>
        <w:contextualSpacing/>
        <w:rPr>
          <w:rFonts w:ascii="宋体" w:hAnsi="宋体"/>
          <w:sz w:val="24"/>
        </w:rPr>
      </w:pPr>
      <w:r>
        <w:rPr>
          <w:rFonts w:hint="eastAsia" w:ascii="宋体" w:hAnsi="宋体"/>
          <w:sz w:val="24"/>
        </w:rPr>
        <w:t xml:space="preserve">7.1.1供应商须按工程造价管理部门的相关配套计价管理规定和要求去理解工程量清单中各子目的项目编码、对应的工作内容、计量单位以及相应的工程量计算规则，并据此进行报价，清单说明与规范不一致之处，以清单说明为准； </w:t>
      </w:r>
    </w:p>
    <w:p w14:paraId="4B4A59BD">
      <w:pPr>
        <w:spacing w:line="360" w:lineRule="auto"/>
        <w:contextualSpacing/>
        <w:rPr>
          <w:rFonts w:ascii="宋体" w:hAnsi="宋体"/>
          <w:sz w:val="24"/>
        </w:rPr>
      </w:pPr>
      <w:r>
        <w:rPr>
          <w:rFonts w:hint="eastAsia" w:ascii="宋体" w:hAnsi="宋体"/>
          <w:sz w:val="24"/>
        </w:rPr>
        <w:t xml:space="preserve">在对工程量清单中各子目进行组价时，供应商应按照自身的企业内部定额做竞争性考虑。如供应商尚未建立自身的企业内部定额，供应商可自行决定是否参考本市现行的 </w:t>
      </w:r>
    </w:p>
    <w:p w14:paraId="7E619188">
      <w:pPr>
        <w:spacing w:line="360" w:lineRule="auto"/>
        <w:contextualSpacing/>
        <w:rPr>
          <w:rFonts w:ascii="宋体" w:hAnsi="宋体"/>
          <w:sz w:val="24"/>
        </w:rPr>
      </w:pPr>
      <w:r>
        <w:rPr>
          <w:rFonts w:hint="eastAsia" w:ascii="宋体" w:hAnsi="宋体"/>
          <w:sz w:val="24"/>
        </w:rPr>
        <w:t xml:space="preserve">预算定额。供应商应保证其报价的充分性、完备性和符合性，任何情况下，工程量清单 </w:t>
      </w:r>
    </w:p>
    <w:p w14:paraId="00190180">
      <w:pPr>
        <w:spacing w:line="360" w:lineRule="auto"/>
        <w:contextualSpacing/>
        <w:rPr>
          <w:rFonts w:ascii="宋体" w:hAnsi="宋体"/>
          <w:sz w:val="24"/>
        </w:rPr>
      </w:pPr>
      <w:r>
        <w:rPr>
          <w:rFonts w:hint="eastAsia" w:ascii="宋体" w:hAnsi="宋体"/>
          <w:sz w:val="24"/>
        </w:rPr>
        <w:t xml:space="preserve">中各子目的报价属于供应商自身的风险，采购人不接受任何由于供应商以组价不当（包 </w:t>
      </w:r>
    </w:p>
    <w:p w14:paraId="5A5B3EF9">
      <w:pPr>
        <w:spacing w:line="360" w:lineRule="auto"/>
        <w:contextualSpacing/>
        <w:rPr>
          <w:rFonts w:ascii="宋体" w:hAnsi="宋体"/>
          <w:sz w:val="24"/>
        </w:rPr>
      </w:pPr>
      <w:r>
        <w:rPr>
          <w:rFonts w:hint="eastAsia" w:ascii="宋体" w:hAnsi="宋体"/>
          <w:sz w:val="24"/>
        </w:rPr>
        <w:t xml:space="preserve">括但不限于对工作内容理解的偏差、工料耗量水平的确定、市场价格的判断、取费等） </w:t>
      </w:r>
    </w:p>
    <w:p w14:paraId="798BCE7E">
      <w:pPr>
        <w:spacing w:line="360" w:lineRule="auto"/>
        <w:contextualSpacing/>
        <w:rPr>
          <w:rFonts w:ascii="宋体" w:hAnsi="宋体"/>
          <w:sz w:val="24"/>
        </w:rPr>
      </w:pPr>
      <w:r>
        <w:rPr>
          <w:rFonts w:hint="eastAsia" w:ascii="宋体" w:hAnsi="宋体"/>
          <w:sz w:val="24"/>
        </w:rPr>
        <w:t xml:space="preserve">为由而提出的任何索赔； </w:t>
      </w:r>
    </w:p>
    <w:p w14:paraId="037D9ECE">
      <w:pPr>
        <w:spacing w:line="360" w:lineRule="auto"/>
        <w:contextualSpacing/>
        <w:rPr>
          <w:rFonts w:ascii="宋体" w:hAnsi="宋体"/>
          <w:sz w:val="24"/>
        </w:rPr>
      </w:pPr>
      <w:r>
        <w:rPr>
          <w:rFonts w:hint="eastAsia" w:ascii="宋体" w:hAnsi="宋体"/>
          <w:sz w:val="24"/>
        </w:rPr>
        <w:t xml:space="preserve">供应商应充分了解本项目的地理位置、周边环境、交通、仓储、装卸、工期以及其他足以影响报价的情况，任何因忽视或误解工地情况而导致的费用和工期索赔将不被批准； </w:t>
      </w:r>
    </w:p>
    <w:p w14:paraId="0541EF06">
      <w:pPr>
        <w:spacing w:line="360" w:lineRule="auto"/>
        <w:contextualSpacing/>
        <w:rPr>
          <w:rFonts w:ascii="宋体" w:hAnsi="宋体"/>
          <w:sz w:val="24"/>
        </w:rPr>
      </w:pPr>
      <w:r>
        <w:rPr>
          <w:rFonts w:hint="eastAsia" w:ascii="宋体" w:hAnsi="宋体"/>
          <w:sz w:val="24"/>
        </w:rPr>
        <w:t xml:space="preserve">报价应是竞争性磋商文件所确定项目范围内的全部工程内容及合同条款约定的全部工作内容和责任的价格体现； </w:t>
      </w:r>
    </w:p>
    <w:p w14:paraId="4D7B76C5">
      <w:pPr>
        <w:spacing w:line="360" w:lineRule="auto"/>
        <w:contextualSpacing/>
        <w:rPr>
          <w:rFonts w:ascii="宋体" w:hAnsi="宋体"/>
          <w:sz w:val="24"/>
        </w:rPr>
      </w:pPr>
      <w:r>
        <w:rPr>
          <w:rFonts w:hint="eastAsia" w:ascii="宋体" w:hAnsi="宋体"/>
          <w:sz w:val="24"/>
        </w:rPr>
        <w:t>供应商在报价时应执行建设工程工程量清单计价规范（GB50500-2013）及北京市工程造价相关配套规定；国家或北京市颁发的相关计价依据及办法;与本工程相关的标准、规范、图集和技术资料。</w:t>
      </w:r>
    </w:p>
    <w:p w14:paraId="4B6EBC05">
      <w:pPr>
        <w:spacing w:line="360" w:lineRule="auto"/>
        <w:contextualSpacing/>
        <w:rPr>
          <w:rFonts w:ascii="宋体" w:hAnsi="宋体"/>
          <w:sz w:val="24"/>
        </w:rPr>
      </w:pPr>
      <w:r>
        <w:rPr>
          <w:rFonts w:hint="eastAsia" w:ascii="宋体" w:hAnsi="宋体"/>
          <w:b/>
          <w:bCs/>
          <w:sz w:val="24"/>
        </w:rPr>
        <w:t>7.1.2供应商报价不得低于其成本价；</w:t>
      </w:r>
      <w:r>
        <w:rPr>
          <w:rFonts w:hint="eastAsia" w:ascii="宋体" w:hAnsi="宋体"/>
          <w:sz w:val="24"/>
        </w:rPr>
        <w:t xml:space="preserve">磋商小组认为竞标报价组成明显不合理的，磋商小组应当要求供应商就其报价的合理性作出详细说明，磋商小组对该报价应进行详细分析及质询。磋商小组对供应商澄清、说明或者补正的内容进行评审，并依法判定是否低于成本或者实质响应磋商文件。低于成本或者未能实质响应磋商文件的响应文件，应当废标。综合单价分析表中，须列出所要求的人、材、机及各项综合取费。报价必须包括各种市场竞争风险和工程施工风险，各专业施工单位交叉作业引起的功效损失，各种测试、检验、试验（包括采购人要求的）而增加的费用。报价的其他要求详见工程量清单计价说明。若磋商小组认为其报价有可能低于企业自身经营成本，且该供应商的响应文件内所附资料不能做出合理解释或说明时，磋商小组可以通过澄清或少数服从多数的原则，投票确定其报价是否有效。 </w:t>
      </w:r>
    </w:p>
    <w:p w14:paraId="722FE641">
      <w:pPr>
        <w:spacing w:line="360" w:lineRule="auto"/>
        <w:ind w:firstLine="480" w:firstLineChars="200"/>
        <w:contextualSpacing/>
        <w:rPr>
          <w:rFonts w:ascii="宋体" w:hAnsi="宋体"/>
          <w:sz w:val="24"/>
        </w:rPr>
      </w:pPr>
      <w:r>
        <w:rPr>
          <w:rFonts w:hint="eastAsia" w:ascii="宋体" w:hAnsi="宋体"/>
          <w:sz w:val="24"/>
        </w:rPr>
        <w:t>如果没有特别说明，供应商在响应文件中所提供的所有设备、仪器、工具、附件等均视为包含在对本响应文件的价格中。供应商要明确承诺对响应文件内容所涉及的专利承担责任，并负责保护采购人的利益不受任何损害。一切由于文字、商标和技术专利等侵权引起的法律诉讼、裁决和费用均与采购人无关。响应内容所涉及的有关专利费和其它相关费用纳入总报价并加以说明。除非特别声明，供应商的报价应包含清单中所有内容及工程实施过程中所有可能发生的费用，供应商提交的报价文件必须包括已标价工程量清单、报价依据和计算方法，否则将会被拒绝。</w:t>
      </w:r>
    </w:p>
    <w:p w14:paraId="3E82EF6A">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施工界面划分</w:t>
      </w:r>
    </w:p>
    <w:p w14:paraId="00B356B0">
      <w:pPr>
        <w:spacing w:line="360" w:lineRule="auto"/>
        <w:ind w:firstLine="480" w:firstLineChars="200"/>
        <w:contextualSpacing/>
        <w:rPr>
          <w:rFonts w:ascii="宋体" w:hAnsi="宋体"/>
          <w:sz w:val="24"/>
        </w:rPr>
      </w:pPr>
      <w:r>
        <w:rPr>
          <w:rFonts w:hint="eastAsia" w:ascii="宋体" w:hAnsi="宋体"/>
          <w:sz w:val="24"/>
        </w:rPr>
        <w:t>8.1.拆除工程：包括但不限于拆除图纸范围内的石膏板吊顶、石膏板隔墙、轻体砖墙体、空调主机外墙、破损地面、乳胶漆墙面、木门、瓷砖踢脚线、卫生间墙顶地及洁具、暖气片等所有为满足施工需拆除、外运的工作内容。</w:t>
      </w:r>
    </w:p>
    <w:p w14:paraId="71E63D14">
      <w:pPr>
        <w:spacing w:line="360" w:lineRule="auto"/>
        <w:ind w:firstLine="480" w:firstLineChars="200"/>
        <w:contextualSpacing/>
        <w:rPr>
          <w:rFonts w:ascii="宋体" w:hAnsi="宋体"/>
          <w:sz w:val="24"/>
        </w:rPr>
      </w:pPr>
      <w:r>
        <w:rPr>
          <w:rFonts w:hint="eastAsia" w:ascii="宋体" w:hAnsi="宋体"/>
          <w:sz w:val="24"/>
        </w:rPr>
        <w:t>8.2.装修工程：包括但不限于图纸范围内的室内地面、墙面、天棚、吊顶等装饰装修工程；以及室内隔墙、室内门、外窗的更换等。</w:t>
      </w:r>
    </w:p>
    <w:p w14:paraId="28C227CC">
      <w:pPr>
        <w:spacing w:line="360" w:lineRule="auto"/>
        <w:ind w:firstLine="480" w:firstLineChars="200"/>
        <w:contextualSpacing/>
        <w:rPr>
          <w:rFonts w:ascii="宋体" w:hAnsi="宋体"/>
          <w:sz w:val="24"/>
        </w:rPr>
      </w:pPr>
      <w:r>
        <w:rPr>
          <w:rFonts w:hint="eastAsia" w:ascii="宋体" w:hAnsi="宋体"/>
          <w:sz w:val="24"/>
        </w:rPr>
        <w:t>8.3.电气工程：包括但不限于图纸范围内的灯具更换、插座、开关、相关配管配线及上口路由等工作内容。</w:t>
      </w:r>
    </w:p>
    <w:p w14:paraId="3B7D7694">
      <w:pPr>
        <w:spacing w:line="360" w:lineRule="auto"/>
        <w:ind w:firstLine="480" w:firstLineChars="200"/>
        <w:contextualSpacing/>
        <w:rPr>
          <w:rFonts w:ascii="宋体" w:hAnsi="宋体"/>
          <w:sz w:val="24"/>
        </w:rPr>
      </w:pPr>
      <w:r>
        <w:rPr>
          <w:rFonts w:hint="eastAsia" w:ascii="宋体" w:hAnsi="宋体"/>
          <w:sz w:val="24"/>
        </w:rPr>
        <w:t>8.4.弱电工程：包括但不限于图纸范围内的人脸识别系统、弱电布线、桥架、交换机等相关配管配线及上口路由等工作内容。</w:t>
      </w:r>
    </w:p>
    <w:p w14:paraId="573AF1D1">
      <w:pPr>
        <w:spacing w:line="360" w:lineRule="auto"/>
        <w:ind w:firstLine="480" w:firstLineChars="200"/>
        <w:contextualSpacing/>
        <w:rPr>
          <w:rFonts w:ascii="宋体" w:hAnsi="宋体"/>
          <w:sz w:val="24"/>
        </w:rPr>
      </w:pPr>
      <w:r>
        <w:rPr>
          <w:rFonts w:hint="eastAsia" w:ascii="宋体" w:hAnsi="宋体"/>
          <w:sz w:val="24"/>
        </w:rPr>
        <w:t>8.5.暖通工程：包括但不限于图纸范围内的暖气片更换、配套管道及阀门等工作内容。</w:t>
      </w:r>
    </w:p>
    <w:p w14:paraId="473B1DF5">
      <w:pPr>
        <w:spacing w:line="360" w:lineRule="auto"/>
        <w:ind w:firstLine="480" w:firstLineChars="200"/>
        <w:contextualSpacing/>
        <w:rPr>
          <w:rFonts w:ascii="宋体" w:hAnsi="宋体"/>
          <w:sz w:val="24"/>
        </w:rPr>
      </w:pPr>
      <w:r>
        <w:rPr>
          <w:rFonts w:hint="eastAsia" w:ascii="宋体" w:hAnsi="宋体"/>
          <w:sz w:val="24"/>
        </w:rPr>
        <w:t>8.6.其它工程：包括但不限于图纸范围内的茶水间柜子等工作内容。以及精细保洁、室内环境检测等工作；</w:t>
      </w:r>
    </w:p>
    <w:p w14:paraId="04112B98">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重点控制事项</w:t>
      </w:r>
    </w:p>
    <w:tbl>
      <w:tblPr>
        <w:tblStyle w:val="6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520"/>
      </w:tblGrid>
      <w:tr w14:paraId="12CC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CCFFCC"/>
            <w:vAlign w:val="center"/>
          </w:tcPr>
          <w:p w14:paraId="0CBB6412">
            <w:pPr>
              <w:pStyle w:val="468"/>
              <w:spacing w:line="340" w:lineRule="exact"/>
              <w:ind w:right="-153" w:rightChars="-73"/>
              <w:rPr>
                <w:rFonts w:asciiTheme="majorEastAsia" w:hAnsiTheme="majorEastAsia" w:eastAsiaTheme="majorEastAsia"/>
                <w:b/>
                <w:bCs/>
                <w:szCs w:val="24"/>
              </w:rPr>
            </w:pPr>
            <w:r>
              <w:rPr>
                <w:rFonts w:hint="eastAsia" w:asciiTheme="majorEastAsia" w:hAnsiTheme="majorEastAsia" w:eastAsiaTheme="majorEastAsia"/>
                <w:b/>
                <w:bCs/>
                <w:szCs w:val="24"/>
              </w:rPr>
              <w:t>序号</w:t>
            </w:r>
          </w:p>
        </w:tc>
        <w:tc>
          <w:tcPr>
            <w:tcW w:w="1985" w:type="dxa"/>
            <w:shd w:val="clear" w:color="auto" w:fill="CCFFCC"/>
            <w:vAlign w:val="center"/>
          </w:tcPr>
          <w:p w14:paraId="0BFAB06D">
            <w:pPr>
              <w:pStyle w:val="468"/>
              <w:spacing w:line="340" w:lineRule="exact"/>
              <w:ind w:right="-153" w:rightChars="-73"/>
              <w:jc w:val="center"/>
              <w:rPr>
                <w:rFonts w:asciiTheme="majorEastAsia" w:hAnsiTheme="majorEastAsia" w:eastAsiaTheme="majorEastAsia"/>
                <w:b/>
                <w:bCs/>
                <w:szCs w:val="24"/>
              </w:rPr>
            </w:pPr>
            <w:r>
              <w:rPr>
                <w:rFonts w:hint="eastAsia" w:asciiTheme="majorEastAsia" w:hAnsiTheme="majorEastAsia" w:eastAsiaTheme="majorEastAsia"/>
                <w:b/>
                <w:bCs/>
                <w:szCs w:val="24"/>
              </w:rPr>
              <w:t>分项管理</w:t>
            </w:r>
          </w:p>
        </w:tc>
        <w:tc>
          <w:tcPr>
            <w:tcW w:w="6520" w:type="dxa"/>
            <w:shd w:val="clear" w:color="auto" w:fill="CCFFCC"/>
            <w:vAlign w:val="center"/>
          </w:tcPr>
          <w:p w14:paraId="2B4F0DAE">
            <w:pPr>
              <w:pStyle w:val="468"/>
              <w:spacing w:line="340" w:lineRule="exact"/>
              <w:ind w:right="-153" w:rightChars="-73"/>
              <w:jc w:val="center"/>
              <w:rPr>
                <w:rFonts w:asciiTheme="majorEastAsia" w:hAnsiTheme="majorEastAsia" w:eastAsiaTheme="majorEastAsia"/>
                <w:b/>
                <w:bCs/>
                <w:szCs w:val="24"/>
              </w:rPr>
            </w:pPr>
            <w:r>
              <w:rPr>
                <w:rFonts w:hint="eastAsia" w:asciiTheme="majorEastAsia" w:hAnsiTheme="majorEastAsia" w:eastAsiaTheme="majorEastAsia"/>
                <w:b/>
                <w:bCs/>
                <w:szCs w:val="24"/>
                <w:lang w:eastAsia="zh-CN"/>
              </w:rPr>
              <w:t>事项</w:t>
            </w:r>
          </w:p>
        </w:tc>
      </w:tr>
      <w:tr w14:paraId="5826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FFFFFF"/>
            <w:vAlign w:val="center"/>
          </w:tcPr>
          <w:p w14:paraId="4E89E3B9">
            <w:pPr>
              <w:pStyle w:val="468"/>
              <w:spacing w:line="340" w:lineRule="exact"/>
              <w:ind w:right="-153" w:rightChars="-73"/>
              <w:rPr>
                <w:rFonts w:asciiTheme="majorEastAsia" w:hAnsiTheme="majorEastAsia" w:eastAsiaTheme="majorEastAsia"/>
                <w:b/>
                <w:szCs w:val="24"/>
                <w:lang w:eastAsia="zh-CN"/>
              </w:rPr>
            </w:pPr>
            <w:r>
              <w:rPr>
                <w:rFonts w:hint="eastAsia" w:asciiTheme="majorEastAsia" w:hAnsiTheme="majorEastAsia" w:eastAsiaTheme="majorEastAsia"/>
                <w:b/>
                <w:szCs w:val="24"/>
                <w:lang w:eastAsia="zh-CN"/>
              </w:rPr>
              <w:t>9.1</w:t>
            </w:r>
          </w:p>
        </w:tc>
        <w:tc>
          <w:tcPr>
            <w:tcW w:w="1985" w:type="dxa"/>
            <w:shd w:val="clear" w:color="auto" w:fill="FFFFFF"/>
            <w:vAlign w:val="center"/>
          </w:tcPr>
          <w:p w14:paraId="1AF218BC">
            <w:pPr>
              <w:pStyle w:val="468"/>
              <w:spacing w:line="340" w:lineRule="exact"/>
              <w:ind w:right="-153" w:rightChars="-73"/>
              <w:rPr>
                <w:rFonts w:asciiTheme="majorEastAsia" w:hAnsiTheme="majorEastAsia" w:eastAsiaTheme="majorEastAsia"/>
                <w:b/>
                <w:szCs w:val="24"/>
              </w:rPr>
            </w:pPr>
            <w:r>
              <w:rPr>
                <w:rFonts w:hint="eastAsia" w:asciiTheme="majorEastAsia" w:hAnsiTheme="majorEastAsia" w:eastAsiaTheme="majorEastAsia"/>
                <w:b/>
                <w:szCs w:val="24"/>
              </w:rPr>
              <w:t>现场管理</w:t>
            </w:r>
          </w:p>
        </w:tc>
        <w:tc>
          <w:tcPr>
            <w:tcW w:w="6520" w:type="dxa"/>
            <w:shd w:val="clear" w:color="auto" w:fill="FFFFFF"/>
            <w:vAlign w:val="center"/>
          </w:tcPr>
          <w:p w14:paraId="54ABA6AF">
            <w:pPr>
              <w:pStyle w:val="468"/>
              <w:spacing w:line="340" w:lineRule="exact"/>
              <w:ind w:right="-153" w:rightChars="-73"/>
              <w:rPr>
                <w:rFonts w:asciiTheme="majorEastAsia" w:hAnsiTheme="majorEastAsia" w:eastAsiaTheme="majorEastAsia"/>
                <w:b/>
                <w:szCs w:val="24"/>
              </w:rPr>
            </w:pPr>
          </w:p>
        </w:tc>
      </w:tr>
      <w:tr w14:paraId="79BE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53123593">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1</w:t>
            </w:r>
            <w:r>
              <w:rPr>
                <w:rFonts w:hint="eastAsia" w:asciiTheme="majorEastAsia" w:hAnsiTheme="majorEastAsia" w:eastAsiaTheme="majorEastAsia"/>
                <w:szCs w:val="24"/>
                <w:lang w:eastAsia="zh-CN"/>
              </w:rPr>
              <w:t>）</w:t>
            </w:r>
          </w:p>
        </w:tc>
        <w:tc>
          <w:tcPr>
            <w:tcW w:w="1985" w:type="dxa"/>
            <w:vAlign w:val="center"/>
          </w:tcPr>
          <w:p w14:paraId="7C9E3AD1">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组织体系运转</w:t>
            </w:r>
          </w:p>
        </w:tc>
        <w:tc>
          <w:tcPr>
            <w:tcW w:w="6520" w:type="dxa"/>
            <w:vAlign w:val="center"/>
          </w:tcPr>
          <w:p w14:paraId="5D434BC6">
            <w:pPr>
              <w:pStyle w:val="468"/>
              <w:spacing w:line="340" w:lineRule="exact"/>
              <w:ind w:left="-105" w:leftChars="-50" w:right="-105" w:rightChars="-50"/>
              <w:rPr>
                <w:rFonts w:asciiTheme="majorEastAsia" w:hAnsiTheme="majorEastAsia" w:eastAsiaTheme="majorEastAsia"/>
                <w:szCs w:val="24"/>
                <w:lang w:eastAsia="zh-CN"/>
              </w:rPr>
            </w:pPr>
            <w:r>
              <w:rPr>
                <w:rFonts w:hint="eastAsia" w:asciiTheme="majorEastAsia" w:hAnsiTheme="majorEastAsia" w:eastAsiaTheme="majorEastAsia"/>
                <w:szCs w:val="24"/>
                <w:lang w:eastAsia="zh-CN"/>
              </w:rPr>
              <w:t>不得擅自调整项目主要管理人员，或主要负责人（项目负责人、技术负责人）</w:t>
            </w:r>
          </w:p>
        </w:tc>
      </w:tr>
      <w:tr w14:paraId="21B1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2AEAD910">
            <w:pPr>
              <w:pStyle w:val="468"/>
              <w:spacing w:line="340" w:lineRule="exact"/>
              <w:ind w:right="-153" w:rightChars="-73"/>
              <w:rPr>
                <w:rFonts w:asciiTheme="majorEastAsia" w:hAnsiTheme="majorEastAsia" w:eastAsiaTheme="majorEastAsia"/>
                <w:szCs w:val="24"/>
                <w:lang w:eastAsia="zh-CN"/>
              </w:rPr>
            </w:pPr>
            <w:r>
              <w:rPr>
                <w:rFonts w:hint="eastAsia" w:asciiTheme="majorEastAsia" w:hAnsiTheme="majorEastAsia" w:eastAsiaTheme="majorEastAsia"/>
                <w:szCs w:val="24"/>
              </w:rPr>
              <w:t>2</w:t>
            </w:r>
            <w:r>
              <w:rPr>
                <w:rFonts w:hint="eastAsia" w:asciiTheme="majorEastAsia" w:hAnsiTheme="majorEastAsia" w:eastAsiaTheme="majorEastAsia"/>
                <w:szCs w:val="24"/>
                <w:lang w:eastAsia="zh-CN"/>
              </w:rPr>
              <w:t>)</w:t>
            </w:r>
          </w:p>
        </w:tc>
        <w:tc>
          <w:tcPr>
            <w:tcW w:w="1985" w:type="dxa"/>
            <w:vAlign w:val="center"/>
          </w:tcPr>
          <w:p w14:paraId="0E95FA48">
            <w:pPr>
              <w:pStyle w:val="778"/>
              <w:spacing w:line="340" w:lineRule="exact"/>
              <w:ind w:right="-153" w:rightChars="-73" w:firstLine="0" w:firstLineChars="0"/>
              <w:jc w:val="left"/>
              <w:rPr>
                <w:rFonts w:asciiTheme="majorEastAsia" w:hAnsiTheme="majorEastAsia" w:eastAsiaTheme="majorEastAsia"/>
                <w:sz w:val="24"/>
              </w:rPr>
            </w:pPr>
            <w:r>
              <w:rPr>
                <w:rFonts w:hint="eastAsia" w:asciiTheme="majorEastAsia" w:hAnsiTheme="majorEastAsia" w:eastAsiaTheme="majorEastAsia"/>
                <w:sz w:val="24"/>
              </w:rPr>
              <w:t>组织体系运转</w:t>
            </w:r>
          </w:p>
        </w:tc>
        <w:tc>
          <w:tcPr>
            <w:tcW w:w="6520" w:type="dxa"/>
            <w:vAlign w:val="center"/>
          </w:tcPr>
          <w:p w14:paraId="2AAF49DD">
            <w:pPr>
              <w:pStyle w:val="778"/>
              <w:spacing w:line="340" w:lineRule="exact"/>
              <w:ind w:left="-105" w:leftChars="-50" w:right="-105" w:rightChars="-50" w:firstLine="0" w:firstLineChars="0"/>
              <w:jc w:val="left"/>
              <w:rPr>
                <w:rFonts w:asciiTheme="majorEastAsia" w:hAnsiTheme="majorEastAsia" w:eastAsiaTheme="majorEastAsia"/>
                <w:sz w:val="24"/>
              </w:rPr>
            </w:pPr>
            <w:r>
              <w:rPr>
                <w:rFonts w:hint="eastAsia" w:asciiTheme="majorEastAsia" w:hAnsiTheme="majorEastAsia" w:eastAsiaTheme="majorEastAsia"/>
                <w:sz w:val="24"/>
              </w:rPr>
              <w:t>项目主要管理人员，或主要负责人（项目负责人、技术负责人）不得请假离开现场48小时</w:t>
            </w:r>
          </w:p>
        </w:tc>
      </w:tr>
      <w:tr w14:paraId="1B7D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vAlign w:val="center"/>
          </w:tcPr>
          <w:p w14:paraId="2FF4D37D">
            <w:pPr>
              <w:pStyle w:val="468"/>
              <w:spacing w:line="340" w:lineRule="exact"/>
              <w:ind w:right="-153" w:rightChars="-73"/>
              <w:rPr>
                <w:rFonts w:asciiTheme="majorEastAsia" w:hAnsiTheme="majorEastAsia" w:eastAsiaTheme="majorEastAsia"/>
                <w:szCs w:val="24"/>
                <w:lang w:eastAsia="zh-CN"/>
              </w:rPr>
            </w:pPr>
            <w:r>
              <w:rPr>
                <w:rFonts w:hint="eastAsia" w:asciiTheme="majorEastAsia" w:hAnsiTheme="majorEastAsia" w:eastAsiaTheme="majorEastAsia"/>
                <w:szCs w:val="24"/>
              </w:rPr>
              <w:t>3</w:t>
            </w:r>
            <w:r>
              <w:rPr>
                <w:rFonts w:hint="eastAsia" w:asciiTheme="majorEastAsia" w:hAnsiTheme="majorEastAsia" w:eastAsiaTheme="majorEastAsia"/>
                <w:szCs w:val="24"/>
                <w:lang w:eastAsia="zh-CN"/>
              </w:rPr>
              <w:t>)</w:t>
            </w:r>
          </w:p>
        </w:tc>
        <w:tc>
          <w:tcPr>
            <w:tcW w:w="1985" w:type="dxa"/>
            <w:vAlign w:val="center"/>
          </w:tcPr>
          <w:p w14:paraId="5E623A26">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现场有序管理</w:t>
            </w:r>
          </w:p>
        </w:tc>
        <w:tc>
          <w:tcPr>
            <w:tcW w:w="6520" w:type="dxa"/>
            <w:vAlign w:val="center"/>
          </w:tcPr>
          <w:p w14:paraId="795DB88A">
            <w:pPr>
              <w:pStyle w:val="468"/>
              <w:spacing w:line="340" w:lineRule="exact"/>
              <w:ind w:left="-105" w:leftChars="-50" w:right="-105" w:rightChars="-50"/>
              <w:rPr>
                <w:rFonts w:asciiTheme="majorEastAsia" w:hAnsiTheme="majorEastAsia" w:eastAsiaTheme="majorEastAsia"/>
                <w:szCs w:val="24"/>
                <w:lang w:eastAsia="zh-CN"/>
              </w:rPr>
            </w:pPr>
            <w:r>
              <w:rPr>
                <w:rFonts w:hint="eastAsia" w:asciiTheme="majorEastAsia" w:hAnsiTheme="majorEastAsia" w:eastAsiaTheme="majorEastAsia"/>
                <w:szCs w:val="24"/>
                <w:lang w:eastAsia="zh-CN"/>
              </w:rPr>
              <w:t>不行使现场管理职责，造成成品保护、文明施工、材料堆放混乱等问题出现或者遭到当地政府罚款</w:t>
            </w:r>
          </w:p>
        </w:tc>
      </w:tr>
      <w:tr w14:paraId="0EA6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3991A340">
            <w:pPr>
              <w:pStyle w:val="468"/>
              <w:spacing w:line="340" w:lineRule="exact"/>
              <w:ind w:right="-153" w:rightChars="-73"/>
              <w:rPr>
                <w:rFonts w:asciiTheme="majorEastAsia" w:hAnsiTheme="majorEastAsia" w:eastAsiaTheme="majorEastAsia"/>
                <w:szCs w:val="24"/>
                <w:lang w:eastAsia="zh-CN"/>
              </w:rPr>
            </w:pPr>
            <w:r>
              <w:rPr>
                <w:rFonts w:hint="eastAsia" w:asciiTheme="majorEastAsia" w:hAnsiTheme="majorEastAsia" w:eastAsiaTheme="majorEastAsia"/>
                <w:szCs w:val="24"/>
              </w:rPr>
              <w:t>4</w:t>
            </w:r>
            <w:r>
              <w:rPr>
                <w:rFonts w:hint="eastAsia" w:asciiTheme="majorEastAsia" w:hAnsiTheme="majorEastAsia" w:eastAsiaTheme="majorEastAsia"/>
                <w:szCs w:val="24"/>
                <w:lang w:eastAsia="zh-CN"/>
              </w:rPr>
              <w:t>)</w:t>
            </w:r>
          </w:p>
        </w:tc>
        <w:tc>
          <w:tcPr>
            <w:tcW w:w="1985" w:type="dxa"/>
            <w:vAlign w:val="center"/>
          </w:tcPr>
          <w:p w14:paraId="2330907D">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自身及分包管理</w:t>
            </w:r>
          </w:p>
        </w:tc>
        <w:tc>
          <w:tcPr>
            <w:tcW w:w="6520" w:type="dxa"/>
            <w:vAlign w:val="center"/>
          </w:tcPr>
          <w:p w14:paraId="1923D4C5">
            <w:pPr>
              <w:pStyle w:val="468"/>
              <w:spacing w:line="340" w:lineRule="exact"/>
              <w:ind w:left="-105" w:leftChars="-50" w:right="-105" w:rightChars="-50"/>
              <w:rPr>
                <w:rFonts w:asciiTheme="majorEastAsia" w:hAnsiTheme="majorEastAsia" w:eastAsiaTheme="majorEastAsia"/>
                <w:szCs w:val="24"/>
                <w:lang w:eastAsia="zh-CN"/>
              </w:rPr>
            </w:pPr>
            <w:r>
              <w:rPr>
                <w:rFonts w:hint="eastAsia" w:asciiTheme="majorEastAsia" w:hAnsiTheme="majorEastAsia" w:eastAsiaTheme="majorEastAsia"/>
                <w:szCs w:val="24"/>
                <w:lang w:eastAsia="zh-CN"/>
              </w:rPr>
              <w:t>不得出现不能有效控制其自身队伍、供货、劳务等情况，或其亲自组织，围攻发包方或当地政府等恶意讨薪行为</w:t>
            </w:r>
          </w:p>
        </w:tc>
      </w:tr>
      <w:tr w14:paraId="5990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1980CC2E">
            <w:pPr>
              <w:pStyle w:val="468"/>
              <w:spacing w:line="340" w:lineRule="exact"/>
              <w:ind w:right="-153" w:rightChars="-73"/>
              <w:rPr>
                <w:rFonts w:asciiTheme="majorEastAsia" w:hAnsiTheme="majorEastAsia" w:eastAsiaTheme="majorEastAsia"/>
                <w:szCs w:val="24"/>
                <w:lang w:eastAsia="zh-CN"/>
              </w:rPr>
            </w:pPr>
            <w:r>
              <w:rPr>
                <w:rFonts w:hint="eastAsia" w:asciiTheme="majorEastAsia" w:hAnsiTheme="majorEastAsia" w:eastAsiaTheme="majorEastAsia"/>
                <w:szCs w:val="24"/>
              </w:rPr>
              <w:t>5</w:t>
            </w:r>
            <w:r>
              <w:rPr>
                <w:rFonts w:hint="eastAsia" w:asciiTheme="majorEastAsia" w:hAnsiTheme="majorEastAsia" w:eastAsiaTheme="majorEastAsia"/>
                <w:szCs w:val="24"/>
                <w:lang w:eastAsia="zh-CN"/>
              </w:rPr>
              <w:t>)</w:t>
            </w:r>
          </w:p>
        </w:tc>
        <w:tc>
          <w:tcPr>
            <w:tcW w:w="1985" w:type="dxa"/>
            <w:vAlign w:val="center"/>
          </w:tcPr>
          <w:p w14:paraId="7D25C93D">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安全管理</w:t>
            </w:r>
          </w:p>
        </w:tc>
        <w:tc>
          <w:tcPr>
            <w:tcW w:w="6520" w:type="dxa"/>
            <w:vAlign w:val="center"/>
          </w:tcPr>
          <w:p w14:paraId="2DA622C5">
            <w:pPr>
              <w:pStyle w:val="468"/>
              <w:spacing w:line="340" w:lineRule="exact"/>
              <w:ind w:left="-105" w:leftChars="-50" w:right="-105" w:rightChars="-50"/>
              <w:rPr>
                <w:rFonts w:asciiTheme="majorEastAsia" w:hAnsiTheme="majorEastAsia" w:eastAsiaTheme="majorEastAsia"/>
                <w:szCs w:val="24"/>
                <w:lang w:eastAsia="zh-CN"/>
              </w:rPr>
            </w:pPr>
            <w:r>
              <w:rPr>
                <w:rFonts w:hint="eastAsia" w:asciiTheme="majorEastAsia" w:hAnsiTheme="majorEastAsia" w:eastAsiaTheme="majorEastAsia"/>
                <w:szCs w:val="24"/>
                <w:lang w:eastAsia="zh-CN"/>
              </w:rPr>
              <w:t>不得发现安全隐患，如有拒不整改、未按时整改、整改后仍不合格</w:t>
            </w:r>
          </w:p>
        </w:tc>
      </w:tr>
      <w:tr w14:paraId="0440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1F062963">
            <w:pPr>
              <w:pStyle w:val="468"/>
              <w:spacing w:line="340" w:lineRule="exact"/>
              <w:ind w:right="-153" w:rightChars="-73"/>
              <w:rPr>
                <w:rFonts w:asciiTheme="majorEastAsia" w:hAnsiTheme="majorEastAsia" w:eastAsiaTheme="majorEastAsia"/>
                <w:b/>
                <w:szCs w:val="24"/>
                <w:lang w:eastAsia="zh-CN"/>
              </w:rPr>
            </w:pPr>
            <w:r>
              <w:rPr>
                <w:rFonts w:hint="eastAsia" w:asciiTheme="majorEastAsia" w:hAnsiTheme="majorEastAsia" w:eastAsiaTheme="majorEastAsia"/>
                <w:b/>
                <w:szCs w:val="24"/>
                <w:lang w:eastAsia="zh-CN"/>
              </w:rPr>
              <w:t>9.2</w:t>
            </w:r>
          </w:p>
        </w:tc>
        <w:tc>
          <w:tcPr>
            <w:tcW w:w="1985" w:type="dxa"/>
            <w:vAlign w:val="center"/>
          </w:tcPr>
          <w:p w14:paraId="4A6E8A77">
            <w:pPr>
              <w:pStyle w:val="468"/>
              <w:spacing w:line="340" w:lineRule="exact"/>
              <w:ind w:right="-153" w:rightChars="-73"/>
              <w:rPr>
                <w:rFonts w:asciiTheme="majorEastAsia" w:hAnsiTheme="majorEastAsia" w:eastAsiaTheme="majorEastAsia"/>
                <w:b/>
                <w:szCs w:val="24"/>
              </w:rPr>
            </w:pPr>
            <w:r>
              <w:rPr>
                <w:rFonts w:hint="eastAsia" w:asciiTheme="majorEastAsia" w:hAnsiTheme="majorEastAsia" w:eastAsiaTheme="majorEastAsia"/>
                <w:b/>
                <w:szCs w:val="24"/>
              </w:rPr>
              <w:t>进度管理</w:t>
            </w:r>
          </w:p>
        </w:tc>
        <w:tc>
          <w:tcPr>
            <w:tcW w:w="6520" w:type="dxa"/>
            <w:vAlign w:val="center"/>
          </w:tcPr>
          <w:p w14:paraId="0DC2C65C">
            <w:pPr>
              <w:pStyle w:val="468"/>
              <w:spacing w:line="340" w:lineRule="exact"/>
              <w:ind w:left="-105" w:leftChars="-50" w:right="-105" w:rightChars="-50"/>
              <w:rPr>
                <w:rFonts w:asciiTheme="majorEastAsia" w:hAnsiTheme="majorEastAsia" w:eastAsiaTheme="majorEastAsia"/>
                <w:b/>
                <w:szCs w:val="24"/>
              </w:rPr>
            </w:pPr>
          </w:p>
        </w:tc>
      </w:tr>
      <w:tr w14:paraId="675D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353DD7A5">
            <w:pPr>
              <w:pStyle w:val="468"/>
              <w:spacing w:line="340" w:lineRule="exact"/>
              <w:ind w:right="-153" w:rightChars="-73"/>
              <w:rPr>
                <w:rFonts w:asciiTheme="majorEastAsia" w:hAnsiTheme="majorEastAsia" w:eastAsiaTheme="majorEastAsia"/>
                <w:szCs w:val="24"/>
                <w:lang w:eastAsia="zh-CN"/>
              </w:rPr>
            </w:pPr>
            <w:r>
              <w:rPr>
                <w:rFonts w:hint="eastAsia" w:asciiTheme="majorEastAsia" w:hAnsiTheme="majorEastAsia" w:eastAsiaTheme="majorEastAsia"/>
                <w:szCs w:val="24"/>
              </w:rPr>
              <w:t>1</w:t>
            </w:r>
            <w:r>
              <w:rPr>
                <w:rFonts w:hint="eastAsia" w:asciiTheme="majorEastAsia" w:hAnsiTheme="majorEastAsia" w:eastAsiaTheme="majorEastAsia"/>
                <w:szCs w:val="24"/>
                <w:lang w:eastAsia="zh-CN"/>
              </w:rPr>
              <w:t>)</w:t>
            </w:r>
          </w:p>
        </w:tc>
        <w:tc>
          <w:tcPr>
            <w:tcW w:w="1985" w:type="dxa"/>
            <w:vAlign w:val="center"/>
          </w:tcPr>
          <w:p w14:paraId="208693F5">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计划体系</w:t>
            </w:r>
          </w:p>
        </w:tc>
        <w:tc>
          <w:tcPr>
            <w:tcW w:w="6520" w:type="dxa"/>
            <w:vAlign w:val="center"/>
          </w:tcPr>
          <w:p w14:paraId="65E6EEA0">
            <w:pPr>
              <w:pStyle w:val="468"/>
              <w:spacing w:line="340" w:lineRule="exact"/>
              <w:ind w:left="-105" w:leftChars="-50" w:right="-105" w:rightChars="-50"/>
              <w:rPr>
                <w:rFonts w:asciiTheme="majorEastAsia" w:hAnsiTheme="majorEastAsia" w:eastAsiaTheme="majorEastAsia"/>
                <w:szCs w:val="24"/>
                <w:lang w:eastAsia="zh-CN"/>
              </w:rPr>
            </w:pPr>
            <w:r>
              <w:rPr>
                <w:rFonts w:hint="eastAsia" w:asciiTheme="majorEastAsia" w:hAnsiTheme="majorEastAsia" w:eastAsiaTheme="majorEastAsia"/>
                <w:szCs w:val="24"/>
                <w:lang w:eastAsia="zh-CN"/>
              </w:rPr>
              <w:t>建立有效的计划管理体系，按时按要求提报施工计划</w:t>
            </w:r>
          </w:p>
        </w:tc>
      </w:tr>
      <w:tr w14:paraId="55DF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037ABCEC">
            <w:pPr>
              <w:pStyle w:val="468"/>
              <w:spacing w:line="340" w:lineRule="exact"/>
              <w:ind w:right="-153" w:rightChars="-73"/>
              <w:rPr>
                <w:rFonts w:asciiTheme="majorEastAsia" w:hAnsiTheme="majorEastAsia" w:eastAsiaTheme="majorEastAsia"/>
                <w:szCs w:val="24"/>
                <w:lang w:eastAsia="zh-CN"/>
              </w:rPr>
            </w:pPr>
            <w:r>
              <w:rPr>
                <w:rFonts w:hint="eastAsia" w:asciiTheme="majorEastAsia" w:hAnsiTheme="majorEastAsia" w:eastAsiaTheme="majorEastAsia"/>
                <w:szCs w:val="24"/>
              </w:rPr>
              <w:t>2</w:t>
            </w:r>
            <w:r>
              <w:rPr>
                <w:rFonts w:hint="eastAsia" w:asciiTheme="majorEastAsia" w:hAnsiTheme="majorEastAsia" w:eastAsiaTheme="majorEastAsia"/>
                <w:szCs w:val="24"/>
                <w:lang w:eastAsia="zh-CN"/>
              </w:rPr>
              <w:t>)</w:t>
            </w:r>
          </w:p>
        </w:tc>
        <w:tc>
          <w:tcPr>
            <w:tcW w:w="1985" w:type="dxa"/>
            <w:vAlign w:val="center"/>
          </w:tcPr>
          <w:p w14:paraId="16AE49E2">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阶段节点控制</w:t>
            </w:r>
          </w:p>
        </w:tc>
        <w:tc>
          <w:tcPr>
            <w:tcW w:w="6520" w:type="dxa"/>
            <w:vAlign w:val="center"/>
          </w:tcPr>
          <w:p w14:paraId="375513A8">
            <w:pPr>
              <w:pStyle w:val="468"/>
              <w:spacing w:line="340" w:lineRule="exact"/>
              <w:ind w:left="-105" w:leftChars="-50" w:right="-105" w:rightChars="-50"/>
              <w:rPr>
                <w:rFonts w:asciiTheme="majorEastAsia" w:hAnsiTheme="majorEastAsia" w:eastAsiaTheme="majorEastAsia"/>
                <w:szCs w:val="24"/>
                <w:lang w:eastAsia="zh-CN"/>
              </w:rPr>
            </w:pPr>
            <w:r>
              <w:rPr>
                <w:rFonts w:hint="eastAsia" w:asciiTheme="majorEastAsia" w:hAnsiTheme="majorEastAsia" w:eastAsiaTheme="majorEastAsia"/>
                <w:szCs w:val="24"/>
                <w:lang w:eastAsia="zh-CN"/>
              </w:rPr>
              <w:t>按时完成，不得延误工期</w:t>
            </w:r>
          </w:p>
        </w:tc>
      </w:tr>
      <w:tr w14:paraId="78BA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09006958">
            <w:pPr>
              <w:pStyle w:val="468"/>
              <w:spacing w:line="340" w:lineRule="exact"/>
              <w:ind w:right="-153" w:rightChars="-73"/>
              <w:rPr>
                <w:rFonts w:asciiTheme="majorEastAsia" w:hAnsiTheme="majorEastAsia" w:eastAsiaTheme="majorEastAsia"/>
                <w:b/>
                <w:szCs w:val="24"/>
                <w:lang w:eastAsia="zh-CN"/>
              </w:rPr>
            </w:pPr>
            <w:r>
              <w:rPr>
                <w:rFonts w:hint="eastAsia" w:asciiTheme="majorEastAsia" w:hAnsiTheme="majorEastAsia" w:eastAsiaTheme="majorEastAsia"/>
                <w:b/>
                <w:szCs w:val="24"/>
                <w:lang w:eastAsia="zh-CN"/>
              </w:rPr>
              <w:t>9.3</w:t>
            </w:r>
          </w:p>
        </w:tc>
        <w:tc>
          <w:tcPr>
            <w:tcW w:w="1985" w:type="dxa"/>
            <w:vAlign w:val="center"/>
          </w:tcPr>
          <w:p w14:paraId="6FD61495">
            <w:pPr>
              <w:pStyle w:val="468"/>
              <w:spacing w:line="340" w:lineRule="exact"/>
              <w:ind w:right="-153" w:rightChars="-73"/>
              <w:rPr>
                <w:rFonts w:asciiTheme="majorEastAsia" w:hAnsiTheme="majorEastAsia" w:eastAsiaTheme="majorEastAsia"/>
                <w:b/>
                <w:szCs w:val="24"/>
              </w:rPr>
            </w:pPr>
            <w:r>
              <w:rPr>
                <w:rFonts w:hint="eastAsia" w:asciiTheme="majorEastAsia" w:hAnsiTheme="majorEastAsia" w:eastAsiaTheme="majorEastAsia"/>
                <w:b/>
                <w:szCs w:val="24"/>
              </w:rPr>
              <w:t>质量管理</w:t>
            </w:r>
          </w:p>
        </w:tc>
        <w:tc>
          <w:tcPr>
            <w:tcW w:w="6520" w:type="dxa"/>
            <w:vAlign w:val="center"/>
          </w:tcPr>
          <w:p w14:paraId="02E07A24">
            <w:pPr>
              <w:pStyle w:val="468"/>
              <w:spacing w:line="340" w:lineRule="exact"/>
              <w:ind w:left="-105" w:leftChars="-50" w:right="-105" w:rightChars="-50"/>
              <w:rPr>
                <w:rFonts w:asciiTheme="majorEastAsia" w:hAnsiTheme="majorEastAsia" w:eastAsiaTheme="majorEastAsia"/>
                <w:b/>
                <w:szCs w:val="24"/>
              </w:rPr>
            </w:pPr>
          </w:p>
        </w:tc>
      </w:tr>
      <w:tr w14:paraId="49A9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203536AE">
            <w:pPr>
              <w:pStyle w:val="468"/>
              <w:spacing w:line="340" w:lineRule="exact"/>
              <w:ind w:right="-153" w:rightChars="-73"/>
              <w:rPr>
                <w:rFonts w:asciiTheme="majorEastAsia" w:hAnsiTheme="majorEastAsia" w:eastAsiaTheme="majorEastAsia"/>
                <w:szCs w:val="24"/>
                <w:lang w:eastAsia="zh-CN"/>
              </w:rPr>
            </w:pPr>
            <w:r>
              <w:rPr>
                <w:rFonts w:hint="eastAsia" w:asciiTheme="majorEastAsia" w:hAnsiTheme="majorEastAsia" w:eastAsiaTheme="majorEastAsia"/>
                <w:szCs w:val="24"/>
              </w:rPr>
              <w:t>1</w:t>
            </w:r>
            <w:r>
              <w:rPr>
                <w:rFonts w:hint="eastAsia" w:asciiTheme="majorEastAsia" w:hAnsiTheme="majorEastAsia" w:eastAsiaTheme="majorEastAsia"/>
                <w:szCs w:val="24"/>
                <w:lang w:eastAsia="zh-CN"/>
              </w:rPr>
              <w:t>)</w:t>
            </w:r>
          </w:p>
        </w:tc>
        <w:tc>
          <w:tcPr>
            <w:tcW w:w="1985" w:type="dxa"/>
            <w:vAlign w:val="center"/>
          </w:tcPr>
          <w:p w14:paraId="347F72A0">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质量事故</w:t>
            </w:r>
          </w:p>
        </w:tc>
        <w:tc>
          <w:tcPr>
            <w:tcW w:w="6520" w:type="dxa"/>
            <w:vAlign w:val="center"/>
          </w:tcPr>
          <w:p w14:paraId="185D2D8F">
            <w:pPr>
              <w:pStyle w:val="468"/>
              <w:spacing w:line="340" w:lineRule="exact"/>
              <w:ind w:left="-105" w:leftChars="-50" w:right="-105" w:rightChars="-50"/>
              <w:rPr>
                <w:rFonts w:asciiTheme="majorEastAsia" w:hAnsiTheme="majorEastAsia" w:eastAsiaTheme="majorEastAsia"/>
                <w:szCs w:val="24"/>
                <w:lang w:eastAsia="zh-CN"/>
              </w:rPr>
            </w:pPr>
            <w:r>
              <w:rPr>
                <w:rFonts w:hint="eastAsia" w:asciiTheme="majorEastAsia" w:hAnsiTheme="majorEastAsia" w:eastAsiaTheme="majorEastAsia"/>
                <w:szCs w:val="24"/>
                <w:lang w:eastAsia="zh-CN"/>
              </w:rPr>
              <w:t>不得出现重大质量事故和质量问题</w:t>
            </w:r>
            <w:r>
              <w:rPr>
                <w:rFonts w:asciiTheme="majorEastAsia" w:hAnsiTheme="majorEastAsia" w:eastAsiaTheme="majorEastAsia"/>
                <w:szCs w:val="24"/>
                <w:lang w:eastAsia="zh-CN"/>
              </w:rPr>
              <w:t xml:space="preserve"> </w:t>
            </w:r>
          </w:p>
        </w:tc>
      </w:tr>
      <w:tr w14:paraId="4A96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05D5F8C2">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2</w:t>
            </w:r>
            <w:r>
              <w:rPr>
                <w:rFonts w:hint="eastAsia" w:asciiTheme="majorEastAsia" w:hAnsiTheme="majorEastAsia" w:eastAsiaTheme="majorEastAsia"/>
                <w:szCs w:val="24"/>
                <w:lang w:eastAsia="zh-CN"/>
              </w:rPr>
              <w:t>)</w:t>
            </w:r>
          </w:p>
        </w:tc>
        <w:tc>
          <w:tcPr>
            <w:tcW w:w="1985" w:type="dxa"/>
            <w:vAlign w:val="center"/>
          </w:tcPr>
          <w:p w14:paraId="7CB4CD04">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维修管理</w:t>
            </w:r>
          </w:p>
        </w:tc>
        <w:tc>
          <w:tcPr>
            <w:tcW w:w="6520" w:type="dxa"/>
            <w:vAlign w:val="center"/>
          </w:tcPr>
          <w:p w14:paraId="3F2A088A">
            <w:pPr>
              <w:pStyle w:val="468"/>
              <w:spacing w:line="340" w:lineRule="exact"/>
              <w:ind w:left="-105" w:leftChars="-50" w:right="-105" w:rightChars="-50"/>
              <w:rPr>
                <w:rFonts w:asciiTheme="majorEastAsia" w:hAnsiTheme="majorEastAsia" w:eastAsiaTheme="majorEastAsia"/>
                <w:szCs w:val="24"/>
                <w:lang w:eastAsia="zh-CN"/>
              </w:rPr>
            </w:pPr>
            <w:r>
              <w:rPr>
                <w:rFonts w:hint="eastAsia" w:asciiTheme="majorEastAsia" w:hAnsiTheme="majorEastAsia" w:eastAsiaTheme="majorEastAsia"/>
                <w:szCs w:val="24"/>
                <w:lang w:eastAsia="zh-CN"/>
              </w:rPr>
              <w:t>在发包方确认质量问题属于施工单位责任时，先行组织维修</w:t>
            </w:r>
          </w:p>
        </w:tc>
      </w:tr>
      <w:tr w14:paraId="6545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09D9638B">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3</w:t>
            </w:r>
            <w:r>
              <w:rPr>
                <w:rFonts w:hint="eastAsia" w:asciiTheme="majorEastAsia" w:hAnsiTheme="majorEastAsia" w:eastAsiaTheme="majorEastAsia"/>
                <w:szCs w:val="24"/>
                <w:lang w:eastAsia="zh-CN"/>
              </w:rPr>
              <w:t>)</w:t>
            </w:r>
          </w:p>
        </w:tc>
        <w:tc>
          <w:tcPr>
            <w:tcW w:w="1985" w:type="dxa"/>
            <w:vAlign w:val="center"/>
          </w:tcPr>
          <w:p w14:paraId="73CC8D81">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实测实量</w:t>
            </w:r>
          </w:p>
        </w:tc>
        <w:tc>
          <w:tcPr>
            <w:tcW w:w="6520" w:type="dxa"/>
            <w:vAlign w:val="center"/>
          </w:tcPr>
          <w:p w14:paraId="095D8F0B">
            <w:pPr>
              <w:pStyle w:val="468"/>
              <w:spacing w:line="340" w:lineRule="exact"/>
              <w:ind w:left="-105" w:leftChars="-50" w:right="-105" w:rightChars="-50"/>
              <w:rPr>
                <w:rFonts w:asciiTheme="majorEastAsia" w:hAnsiTheme="majorEastAsia" w:eastAsiaTheme="majorEastAsia"/>
                <w:szCs w:val="24"/>
                <w:lang w:eastAsia="zh-CN"/>
              </w:rPr>
            </w:pPr>
            <w:r>
              <w:rPr>
                <w:rFonts w:hint="eastAsia" w:asciiTheme="majorEastAsia" w:hAnsiTheme="majorEastAsia" w:eastAsiaTheme="majorEastAsia"/>
                <w:szCs w:val="24"/>
                <w:lang w:eastAsia="zh-CN"/>
              </w:rPr>
              <w:t>实测实量检查中（含发包人组织的每次实测实量检查），合格率不得低于9</w:t>
            </w:r>
            <w:r>
              <w:rPr>
                <w:rFonts w:asciiTheme="majorEastAsia" w:hAnsiTheme="majorEastAsia" w:eastAsiaTheme="majorEastAsia"/>
                <w:szCs w:val="24"/>
                <w:lang w:eastAsia="zh-CN"/>
              </w:rPr>
              <w:t>6</w:t>
            </w:r>
            <w:r>
              <w:rPr>
                <w:rFonts w:hint="eastAsia" w:asciiTheme="majorEastAsia" w:hAnsiTheme="majorEastAsia" w:eastAsiaTheme="majorEastAsia"/>
                <w:szCs w:val="24"/>
                <w:lang w:eastAsia="zh-CN"/>
              </w:rPr>
              <w:t>%</w:t>
            </w:r>
          </w:p>
        </w:tc>
      </w:tr>
      <w:tr w14:paraId="0FCB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344679EA">
            <w:pPr>
              <w:pStyle w:val="468"/>
              <w:spacing w:line="340" w:lineRule="exact"/>
              <w:ind w:right="-153" w:rightChars="-73"/>
              <w:rPr>
                <w:rFonts w:asciiTheme="majorEastAsia" w:hAnsiTheme="majorEastAsia" w:eastAsiaTheme="majorEastAsia"/>
                <w:b/>
                <w:szCs w:val="24"/>
                <w:lang w:eastAsia="zh-CN"/>
              </w:rPr>
            </w:pPr>
            <w:r>
              <w:rPr>
                <w:rFonts w:hint="eastAsia" w:asciiTheme="majorEastAsia" w:hAnsiTheme="majorEastAsia" w:eastAsiaTheme="majorEastAsia"/>
                <w:b/>
                <w:szCs w:val="24"/>
                <w:lang w:eastAsia="zh-CN"/>
              </w:rPr>
              <w:t>9.4</w:t>
            </w:r>
          </w:p>
        </w:tc>
        <w:tc>
          <w:tcPr>
            <w:tcW w:w="1985" w:type="dxa"/>
            <w:vAlign w:val="center"/>
          </w:tcPr>
          <w:p w14:paraId="0EBFDBCE">
            <w:pPr>
              <w:pStyle w:val="468"/>
              <w:spacing w:line="340" w:lineRule="exact"/>
              <w:ind w:right="-153" w:rightChars="-73"/>
              <w:rPr>
                <w:rFonts w:asciiTheme="majorEastAsia" w:hAnsiTheme="majorEastAsia" w:eastAsiaTheme="majorEastAsia"/>
                <w:b/>
                <w:szCs w:val="24"/>
              </w:rPr>
            </w:pPr>
            <w:r>
              <w:rPr>
                <w:rFonts w:hint="eastAsia" w:asciiTheme="majorEastAsia" w:hAnsiTheme="majorEastAsia" w:eastAsiaTheme="majorEastAsia"/>
                <w:b/>
                <w:szCs w:val="24"/>
              </w:rPr>
              <w:t>安全文明</w:t>
            </w:r>
          </w:p>
        </w:tc>
        <w:tc>
          <w:tcPr>
            <w:tcW w:w="6520" w:type="dxa"/>
            <w:vAlign w:val="center"/>
          </w:tcPr>
          <w:p w14:paraId="7160207C">
            <w:pPr>
              <w:pStyle w:val="468"/>
              <w:spacing w:line="340" w:lineRule="exact"/>
              <w:ind w:left="-105" w:leftChars="-50" w:right="-105" w:rightChars="-50"/>
              <w:rPr>
                <w:rFonts w:asciiTheme="majorEastAsia" w:hAnsiTheme="majorEastAsia" w:eastAsiaTheme="majorEastAsia"/>
                <w:szCs w:val="24"/>
              </w:rPr>
            </w:pPr>
          </w:p>
        </w:tc>
      </w:tr>
      <w:tr w14:paraId="4719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009037F8">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1</w:t>
            </w:r>
            <w:r>
              <w:rPr>
                <w:rFonts w:hint="eastAsia" w:asciiTheme="majorEastAsia" w:hAnsiTheme="majorEastAsia" w:eastAsiaTheme="majorEastAsia"/>
                <w:szCs w:val="24"/>
                <w:lang w:eastAsia="zh-CN"/>
              </w:rPr>
              <w:t>)</w:t>
            </w:r>
          </w:p>
        </w:tc>
        <w:tc>
          <w:tcPr>
            <w:tcW w:w="1985" w:type="dxa"/>
            <w:vAlign w:val="center"/>
          </w:tcPr>
          <w:p w14:paraId="37BFCFCE">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安全帽、安全带</w:t>
            </w:r>
          </w:p>
        </w:tc>
        <w:tc>
          <w:tcPr>
            <w:tcW w:w="6520" w:type="dxa"/>
            <w:vAlign w:val="center"/>
          </w:tcPr>
          <w:p w14:paraId="5493D9D8">
            <w:pPr>
              <w:spacing w:line="340" w:lineRule="exact"/>
              <w:jc w:val="left"/>
              <w:rPr>
                <w:rFonts w:asciiTheme="majorEastAsia" w:hAnsiTheme="majorEastAsia" w:eastAsiaTheme="majorEastAsia"/>
                <w:sz w:val="24"/>
              </w:rPr>
            </w:pPr>
            <w:r>
              <w:rPr>
                <w:rFonts w:hint="eastAsia" w:asciiTheme="majorEastAsia" w:hAnsiTheme="majorEastAsia" w:eastAsiaTheme="majorEastAsia"/>
                <w:sz w:val="24"/>
              </w:rPr>
              <w:t>佩戴规范</w:t>
            </w:r>
          </w:p>
        </w:tc>
      </w:tr>
      <w:tr w14:paraId="0F04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14:paraId="264BAAF1">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2</w:t>
            </w:r>
            <w:r>
              <w:rPr>
                <w:rFonts w:hint="eastAsia" w:asciiTheme="majorEastAsia" w:hAnsiTheme="majorEastAsia" w:eastAsiaTheme="majorEastAsia"/>
                <w:szCs w:val="24"/>
                <w:lang w:eastAsia="zh-CN"/>
              </w:rPr>
              <w:t>)</w:t>
            </w:r>
          </w:p>
        </w:tc>
        <w:tc>
          <w:tcPr>
            <w:tcW w:w="1985" w:type="dxa"/>
            <w:vAlign w:val="center"/>
          </w:tcPr>
          <w:p w14:paraId="3FE9B6FE">
            <w:pPr>
              <w:pStyle w:val="468"/>
              <w:spacing w:line="340" w:lineRule="exact"/>
              <w:ind w:right="-153" w:rightChars="-73"/>
              <w:rPr>
                <w:rFonts w:asciiTheme="majorEastAsia" w:hAnsiTheme="majorEastAsia" w:eastAsiaTheme="majorEastAsia"/>
                <w:szCs w:val="24"/>
              </w:rPr>
            </w:pPr>
            <w:r>
              <w:rPr>
                <w:rFonts w:hint="eastAsia" w:asciiTheme="majorEastAsia" w:hAnsiTheme="majorEastAsia" w:eastAsiaTheme="majorEastAsia"/>
                <w:szCs w:val="24"/>
              </w:rPr>
              <w:t>吸烟</w:t>
            </w:r>
          </w:p>
        </w:tc>
        <w:tc>
          <w:tcPr>
            <w:tcW w:w="6520" w:type="dxa"/>
            <w:vAlign w:val="center"/>
          </w:tcPr>
          <w:p w14:paraId="041E0724">
            <w:pPr>
              <w:spacing w:line="340" w:lineRule="exact"/>
              <w:jc w:val="left"/>
              <w:rPr>
                <w:rFonts w:asciiTheme="majorEastAsia" w:hAnsiTheme="majorEastAsia" w:eastAsiaTheme="majorEastAsia"/>
                <w:sz w:val="24"/>
              </w:rPr>
            </w:pPr>
            <w:r>
              <w:rPr>
                <w:rFonts w:hint="eastAsia" w:asciiTheme="majorEastAsia" w:hAnsiTheme="majorEastAsia" w:eastAsiaTheme="majorEastAsia"/>
                <w:sz w:val="24"/>
              </w:rPr>
              <w:t>施工现场不得有人吸烟</w:t>
            </w:r>
          </w:p>
        </w:tc>
      </w:tr>
    </w:tbl>
    <w:p w14:paraId="13CA1ADA">
      <w:pPr>
        <w:pStyle w:val="272"/>
        <w:spacing w:line="360" w:lineRule="auto"/>
        <w:ind w:left="567" w:firstLine="0" w:firstLineChars="0"/>
        <w:contextualSpacing/>
        <w:rPr>
          <w:rFonts w:ascii="宋体" w:hAnsi="宋体"/>
          <w:b/>
          <w:bCs/>
          <w:sz w:val="24"/>
        </w:rPr>
      </w:pPr>
    </w:p>
    <w:p w14:paraId="7D5CCC8C">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适用规范和标准</w:t>
      </w:r>
    </w:p>
    <w:p w14:paraId="1CA4A0C8">
      <w:pPr>
        <w:spacing w:line="360" w:lineRule="auto"/>
        <w:ind w:firstLine="480" w:firstLineChars="200"/>
        <w:contextualSpacing/>
        <w:rPr>
          <w:rFonts w:ascii="宋体" w:hAnsi="宋体"/>
          <w:sz w:val="24"/>
        </w:rPr>
      </w:pPr>
      <w:r>
        <w:rPr>
          <w:rFonts w:hint="eastAsia" w:ascii="宋体" w:hAnsi="宋体"/>
          <w:sz w:val="24"/>
        </w:rPr>
        <w:t>10.</w:t>
      </w:r>
      <w:r>
        <w:rPr>
          <w:rFonts w:ascii="宋体" w:hAnsi="宋体"/>
          <w:sz w:val="24"/>
        </w:rPr>
        <w:t xml:space="preserve">1  </w:t>
      </w:r>
      <w:r>
        <w:rPr>
          <w:rFonts w:hint="eastAsia" w:ascii="宋体" w:hAnsi="宋体"/>
          <w:sz w:val="24"/>
        </w:rPr>
        <w:t>适用本工程的国家、行业和地方规范、标准和规程：</w:t>
      </w:r>
    </w:p>
    <w:p w14:paraId="72B8CD2E">
      <w:pPr>
        <w:spacing w:line="360" w:lineRule="auto"/>
        <w:ind w:firstLine="480" w:firstLineChars="200"/>
        <w:contextualSpacing/>
        <w:rPr>
          <w:rFonts w:ascii="宋体" w:hAnsi="宋体"/>
          <w:sz w:val="24"/>
        </w:rPr>
      </w:pPr>
      <w:bookmarkStart w:id="688" w:name="_Toc5846"/>
      <w:bookmarkStart w:id="689" w:name="_Toc166656712"/>
      <w:r>
        <w:rPr>
          <w:rFonts w:hint="eastAsia" w:ascii="宋体" w:hAnsi="宋体"/>
          <w:sz w:val="24"/>
        </w:rPr>
        <w:t>10.1.1．国家法律、法规</w:t>
      </w:r>
      <w:bookmarkEnd w:id="688"/>
      <w:bookmarkEnd w:id="689"/>
    </w:p>
    <w:p w14:paraId="36A44437">
      <w:pPr>
        <w:numPr>
          <w:ilvl w:val="1"/>
          <w:numId w:val="21"/>
        </w:numPr>
        <w:spacing w:line="360" w:lineRule="auto"/>
        <w:jc w:val="left"/>
        <w:rPr>
          <w:rFonts w:ascii="宋体" w:hAnsi="宋体" w:cs="Arial"/>
          <w:sz w:val="24"/>
        </w:rPr>
      </w:pPr>
      <w:r>
        <w:rPr>
          <w:rFonts w:hint="eastAsia" w:ascii="宋体" w:hAnsi="宋体" w:cs="Arial"/>
          <w:sz w:val="24"/>
        </w:rPr>
        <w:t>《中华人民共和国合同法》</w:t>
      </w:r>
    </w:p>
    <w:p w14:paraId="56D9B80A">
      <w:pPr>
        <w:numPr>
          <w:ilvl w:val="1"/>
          <w:numId w:val="21"/>
        </w:numPr>
        <w:spacing w:line="360" w:lineRule="auto"/>
        <w:jc w:val="left"/>
        <w:rPr>
          <w:rFonts w:ascii="宋体" w:hAnsi="宋体" w:cs="Arial"/>
          <w:sz w:val="24"/>
        </w:rPr>
      </w:pPr>
      <w:r>
        <w:rPr>
          <w:rFonts w:hint="eastAsia" w:ascii="宋体" w:hAnsi="宋体" w:cs="Arial"/>
          <w:sz w:val="24"/>
        </w:rPr>
        <w:t>《中华人民共和国建筑法》</w:t>
      </w:r>
    </w:p>
    <w:p w14:paraId="79762B1A">
      <w:pPr>
        <w:numPr>
          <w:ilvl w:val="1"/>
          <w:numId w:val="21"/>
        </w:numPr>
        <w:spacing w:line="360" w:lineRule="auto"/>
        <w:jc w:val="left"/>
        <w:rPr>
          <w:rFonts w:ascii="宋体" w:hAnsi="宋体" w:cs="Arial"/>
          <w:sz w:val="24"/>
        </w:rPr>
      </w:pPr>
      <w:r>
        <w:rPr>
          <w:rFonts w:hint="eastAsia" w:ascii="宋体" w:hAnsi="宋体" w:cs="Arial"/>
          <w:sz w:val="24"/>
        </w:rPr>
        <w:t>其他相关法律、行政法规</w:t>
      </w:r>
    </w:p>
    <w:p w14:paraId="45606B9F">
      <w:pPr>
        <w:spacing w:line="360" w:lineRule="auto"/>
        <w:ind w:firstLine="480" w:firstLineChars="200"/>
        <w:contextualSpacing/>
        <w:rPr>
          <w:rFonts w:ascii="宋体" w:hAnsi="宋体"/>
          <w:sz w:val="24"/>
        </w:rPr>
      </w:pPr>
      <w:bookmarkStart w:id="690" w:name="_Toc24574"/>
      <w:bookmarkStart w:id="691" w:name="_Toc166656713"/>
      <w:r>
        <w:rPr>
          <w:rFonts w:hint="eastAsia" w:ascii="宋体" w:hAnsi="宋体"/>
          <w:sz w:val="24"/>
        </w:rPr>
        <w:t>9.1.2．工程建设规范、标准及行业的有关规定</w:t>
      </w:r>
      <w:bookmarkEnd w:id="690"/>
      <w:bookmarkEnd w:id="691"/>
    </w:p>
    <w:p w14:paraId="1F0D9140">
      <w:pPr>
        <w:numPr>
          <w:ilvl w:val="1"/>
          <w:numId w:val="21"/>
        </w:numPr>
        <w:spacing w:line="360" w:lineRule="auto"/>
        <w:jc w:val="left"/>
        <w:rPr>
          <w:rFonts w:ascii="宋体" w:hAnsi="宋体" w:cs="Arial"/>
          <w:sz w:val="24"/>
        </w:rPr>
      </w:pPr>
      <w:r>
        <w:rPr>
          <w:rFonts w:hint="eastAsia" w:ascii="宋体" w:hAnsi="宋体" w:cs="Arial"/>
          <w:sz w:val="24"/>
        </w:rPr>
        <w:t>《建筑门窗洞口尺寸系列》</w:t>
      </w:r>
    </w:p>
    <w:p w14:paraId="6689F999">
      <w:pPr>
        <w:numPr>
          <w:ilvl w:val="1"/>
          <w:numId w:val="21"/>
        </w:numPr>
        <w:spacing w:line="360" w:lineRule="auto"/>
        <w:jc w:val="left"/>
        <w:rPr>
          <w:rFonts w:ascii="宋体" w:hAnsi="宋体" w:cs="Arial"/>
          <w:sz w:val="24"/>
        </w:rPr>
      </w:pPr>
      <w:r>
        <w:rPr>
          <w:rFonts w:hint="eastAsia" w:ascii="宋体" w:hAnsi="宋体" w:cs="Arial"/>
          <w:sz w:val="24"/>
        </w:rPr>
        <w:t>《建筑外窗空气渗透性能分级及其检测方法》</w:t>
      </w:r>
    </w:p>
    <w:p w14:paraId="56394902">
      <w:pPr>
        <w:numPr>
          <w:ilvl w:val="1"/>
          <w:numId w:val="21"/>
        </w:numPr>
        <w:spacing w:line="360" w:lineRule="auto"/>
        <w:jc w:val="left"/>
        <w:rPr>
          <w:rFonts w:ascii="宋体" w:hAnsi="宋体" w:cs="Arial"/>
          <w:sz w:val="24"/>
        </w:rPr>
      </w:pPr>
      <w:r>
        <w:rPr>
          <w:rFonts w:hint="eastAsia" w:ascii="宋体" w:hAnsi="宋体" w:cs="Arial"/>
          <w:sz w:val="24"/>
        </w:rPr>
        <w:t>《建筑外窗雨水渗透性能分级及其检测方法》</w:t>
      </w:r>
    </w:p>
    <w:p w14:paraId="6EB2B72D">
      <w:pPr>
        <w:numPr>
          <w:ilvl w:val="1"/>
          <w:numId w:val="21"/>
        </w:numPr>
        <w:spacing w:line="360" w:lineRule="auto"/>
        <w:jc w:val="left"/>
        <w:rPr>
          <w:rFonts w:ascii="宋体" w:hAnsi="宋体" w:cs="Arial"/>
          <w:sz w:val="24"/>
        </w:rPr>
      </w:pPr>
      <w:r>
        <w:rPr>
          <w:rFonts w:hint="eastAsia" w:ascii="宋体" w:hAnsi="宋体" w:cs="Arial"/>
          <w:sz w:val="24"/>
        </w:rPr>
        <w:t>《建筑门窗扇开关方向和开关面地标示符号》</w:t>
      </w:r>
    </w:p>
    <w:p w14:paraId="592A374D">
      <w:pPr>
        <w:numPr>
          <w:ilvl w:val="1"/>
          <w:numId w:val="21"/>
        </w:numPr>
        <w:spacing w:line="360" w:lineRule="auto"/>
        <w:jc w:val="left"/>
        <w:rPr>
          <w:rFonts w:ascii="宋体" w:hAnsi="宋体" w:cs="Arial"/>
          <w:sz w:val="24"/>
        </w:rPr>
      </w:pPr>
      <w:r>
        <w:rPr>
          <w:rFonts w:hint="eastAsia" w:ascii="宋体" w:hAnsi="宋体" w:cs="Arial"/>
          <w:sz w:val="24"/>
        </w:rPr>
        <w:t>《门窗安装工程施工操作规程》</w:t>
      </w:r>
    </w:p>
    <w:p w14:paraId="43986BD9">
      <w:pPr>
        <w:numPr>
          <w:ilvl w:val="1"/>
          <w:numId w:val="21"/>
        </w:numPr>
        <w:spacing w:line="360" w:lineRule="auto"/>
        <w:jc w:val="left"/>
        <w:rPr>
          <w:rFonts w:ascii="宋体" w:hAnsi="宋体" w:cs="Arial"/>
          <w:sz w:val="24"/>
        </w:rPr>
      </w:pPr>
      <w:r>
        <w:rPr>
          <w:rFonts w:hint="eastAsia" w:ascii="宋体" w:hAnsi="宋体" w:cs="Arial"/>
          <w:sz w:val="24"/>
        </w:rPr>
        <w:t>《建筑装饰装修工程质量验收规范》</w:t>
      </w:r>
    </w:p>
    <w:p w14:paraId="496E4CBB">
      <w:pPr>
        <w:numPr>
          <w:ilvl w:val="1"/>
          <w:numId w:val="21"/>
        </w:numPr>
        <w:spacing w:line="360" w:lineRule="auto"/>
        <w:jc w:val="left"/>
        <w:rPr>
          <w:rFonts w:ascii="宋体" w:hAnsi="宋体" w:cs="Arial"/>
          <w:sz w:val="24"/>
        </w:rPr>
      </w:pPr>
      <w:r>
        <w:rPr>
          <w:rFonts w:hint="eastAsia" w:ascii="宋体" w:hAnsi="宋体" w:cs="Arial"/>
          <w:sz w:val="24"/>
        </w:rPr>
        <w:t>《建筑工程质量检验评定标准》</w:t>
      </w:r>
    </w:p>
    <w:p w14:paraId="2782872A">
      <w:pPr>
        <w:numPr>
          <w:ilvl w:val="1"/>
          <w:numId w:val="21"/>
        </w:numPr>
        <w:spacing w:line="360" w:lineRule="auto"/>
        <w:jc w:val="left"/>
        <w:rPr>
          <w:rFonts w:ascii="宋体" w:hAnsi="宋体" w:cs="Arial"/>
          <w:sz w:val="24"/>
        </w:rPr>
      </w:pPr>
      <w:r>
        <w:rPr>
          <w:rFonts w:hint="eastAsia" w:ascii="宋体" w:hAnsi="宋体" w:cs="Arial"/>
          <w:sz w:val="24"/>
        </w:rPr>
        <w:t>《民用建筑隔音设计规范》</w:t>
      </w:r>
    </w:p>
    <w:p w14:paraId="1AF0CFAE">
      <w:pPr>
        <w:numPr>
          <w:ilvl w:val="1"/>
          <w:numId w:val="21"/>
        </w:numPr>
        <w:spacing w:line="360" w:lineRule="auto"/>
        <w:jc w:val="left"/>
        <w:rPr>
          <w:rFonts w:ascii="宋体" w:hAnsi="宋体" w:cs="Arial"/>
          <w:sz w:val="24"/>
        </w:rPr>
      </w:pPr>
      <w:r>
        <w:rPr>
          <w:rFonts w:hint="eastAsia" w:ascii="宋体" w:hAnsi="宋体" w:cs="Arial"/>
          <w:sz w:val="24"/>
        </w:rPr>
        <w:t>《建筑橡胶密封垫密封玻璃窗和镶板的预成型实心硫化橡胶材料规范》</w:t>
      </w:r>
    </w:p>
    <w:p w14:paraId="65068EB0">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工程量清单编制依据</w:t>
      </w:r>
    </w:p>
    <w:p w14:paraId="404E1446">
      <w:pPr>
        <w:pStyle w:val="2"/>
        <w:spacing w:line="360" w:lineRule="auto"/>
        <w:ind w:left="0" w:firstLineChars="200"/>
        <w:rPr>
          <w:rFonts w:hAnsi="宋体"/>
          <w:kern w:val="2"/>
          <w:szCs w:val="24"/>
        </w:rPr>
      </w:pPr>
      <w:r>
        <w:rPr>
          <w:rFonts w:hint="eastAsia" w:hAnsi="宋体"/>
          <w:kern w:val="2"/>
          <w:szCs w:val="24"/>
        </w:rPr>
        <w:t>11.1《中国科学院软件研究所7号楼10层装修改造项目》图纸；</w:t>
      </w:r>
    </w:p>
    <w:p w14:paraId="0E6C8FCF">
      <w:pPr>
        <w:pStyle w:val="2"/>
        <w:spacing w:line="360" w:lineRule="auto"/>
        <w:ind w:left="0" w:firstLineChars="200"/>
        <w:rPr>
          <w:rFonts w:hAnsi="宋体"/>
          <w:kern w:val="2"/>
          <w:szCs w:val="24"/>
        </w:rPr>
      </w:pPr>
      <w:r>
        <w:rPr>
          <w:rFonts w:hint="eastAsia" w:hAnsi="宋体"/>
          <w:kern w:val="2"/>
          <w:szCs w:val="24"/>
        </w:rPr>
        <w:t>11.2《房屋修缮工程工程量计算规范》（DB11/T638-2016）；</w:t>
      </w:r>
    </w:p>
    <w:p w14:paraId="75D5AB86">
      <w:pPr>
        <w:pStyle w:val="2"/>
        <w:spacing w:line="360" w:lineRule="auto"/>
        <w:ind w:left="0" w:firstLineChars="200"/>
        <w:rPr>
          <w:rFonts w:hAnsi="宋体"/>
          <w:kern w:val="2"/>
          <w:szCs w:val="24"/>
        </w:rPr>
      </w:pPr>
      <w:r>
        <w:rPr>
          <w:rFonts w:hint="eastAsia" w:hAnsi="宋体"/>
          <w:kern w:val="2"/>
          <w:szCs w:val="24"/>
        </w:rPr>
        <w:t>11.3《北京市房屋修缮工程预算消耗量标准》（2021）；</w:t>
      </w:r>
    </w:p>
    <w:p w14:paraId="1A19C1B5">
      <w:pPr>
        <w:pStyle w:val="2"/>
        <w:spacing w:line="360" w:lineRule="auto"/>
        <w:ind w:left="0" w:firstLineChars="200"/>
        <w:rPr>
          <w:rFonts w:hAnsi="宋体"/>
          <w:kern w:val="2"/>
          <w:szCs w:val="24"/>
        </w:rPr>
      </w:pPr>
      <w:r>
        <w:rPr>
          <w:rFonts w:hint="eastAsia" w:hAnsi="宋体"/>
          <w:kern w:val="2"/>
          <w:szCs w:val="24"/>
        </w:rPr>
        <w:t>11.4北京市工程造价管理处的相关文件及规定。</w:t>
      </w:r>
    </w:p>
    <w:p w14:paraId="5DE6D19B">
      <w:pPr>
        <w:pStyle w:val="2"/>
        <w:spacing w:line="360" w:lineRule="auto"/>
        <w:ind w:left="0" w:firstLineChars="200"/>
        <w:rPr>
          <w:rFonts w:hAnsi="宋体"/>
          <w:kern w:val="2"/>
          <w:szCs w:val="24"/>
        </w:rPr>
      </w:pPr>
      <w:r>
        <w:rPr>
          <w:rFonts w:hint="eastAsia" w:hAnsi="宋体"/>
          <w:kern w:val="2"/>
          <w:szCs w:val="24"/>
        </w:rPr>
        <w:t>11.5工程量清单（另行成册）</w:t>
      </w:r>
    </w:p>
    <w:p w14:paraId="28586A6B">
      <w:pPr>
        <w:pStyle w:val="272"/>
        <w:numPr>
          <w:ilvl w:val="3"/>
          <w:numId w:val="20"/>
        </w:numPr>
        <w:spacing w:line="360" w:lineRule="auto"/>
        <w:ind w:left="567" w:hanging="567" w:firstLineChars="0"/>
        <w:contextualSpacing/>
        <w:rPr>
          <w:rFonts w:ascii="宋体" w:hAnsi="宋体"/>
          <w:b/>
          <w:bCs/>
          <w:sz w:val="24"/>
        </w:rPr>
      </w:pPr>
      <w:r>
        <w:rPr>
          <w:rFonts w:hint="eastAsia" w:ascii="宋体" w:hAnsi="宋体"/>
          <w:b/>
          <w:bCs/>
          <w:sz w:val="24"/>
        </w:rPr>
        <w:t>图纸</w:t>
      </w:r>
    </w:p>
    <w:p w14:paraId="194D55FE">
      <w:pPr>
        <w:spacing w:line="360" w:lineRule="auto"/>
        <w:contextualSpacing/>
        <w:rPr>
          <w:rFonts w:ascii="宋体" w:hAnsi="宋体"/>
          <w:bCs/>
          <w:sz w:val="24"/>
        </w:rPr>
      </w:pPr>
      <w:r>
        <w:rPr>
          <w:rFonts w:hint="eastAsia" w:ascii="宋体" w:hAnsi="宋体"/>
          <w:bCs/>
          <w:sz w:val="24"/>
        </w:rPr>
        <w:t>12.1作为磋商文件组成部分的图纸（见附件3），随磋商文件一并提供给投标人。</w:t>
      </w:r>
    </w:p>
    <w:p w14:paraId="68B5F61D">
      <w:pPr>
        <w:pStyle w:val="2"/>
      </w:pPr>
    </w:p>
    <w:p w14:paraId="6C88350E">
      <w:pPr>
        <w:pStyle w:val="2"/>
        <w:sectPr>
          <w:headerReference r:id="rId15" w:type="first"/>
          <w:headerReference r:id="rId13" w:type="default"/>
          <w:footerReference r:id="rId16" w:type="default"/>
          <w:headerReference r:id="rId14" w:type="even"/>
          <w:pgSz w:w="11920" w:h="16840"/>
          <w:pgMar w:top="1780" w:right="1418" w:bottom="1780" w:left="1418" w:header="850" w:footer="850" w:gutter="0"/>
          <w:pgNumType w:start="10"/>
          <w:cols w:space="720" w:num="1"/>
          <w:docGrid w:linePitch="286" w:charSpace="0"/>
        </w:sectPr>
      </w:pPr>
    </w:p>
    <w:p w14:paraId="4068393F">
      <w:pPr>
        <w:widowControl/>
        <w:jc w:val="left"/>
        <w:rPr>
          <w:rFonts w:ascii="宋体" w:hAnsi="宋体"/>
          <w:b/>
          <w:sz w:val="36"/>
          <w:szCs w:val="36"/>
        </w:rPr>
      </w:pPr>
    </w:p>
    <w:p w14:paraId="7968F3BC">
      <w:pPr>
        <w:spacing w:line="360" w:lineRule="auto"/>
        <w:jc w:val="center"/>
        <w:outlineLvl w:val="0"/>
        <w:rPr>
          <w:rFonts w:ascii="宋体" w:hAnsi="宋体"/>
          <w:b/>
          <w:sz w:val="36"/>
          <w:szCs w:val="36"/>
        </w:rPr>
      </w:pPr>
      <w:bookmarkStart w:id="692" w:name="_Toc97371946"/>
      <w:r>
        <w:rPr>
          <w:rFonts w:ascii="宋体" w:hAnsi="宋体"/>
          <w:b/>
          <w:sz w:val="36"/>
          <w:szCs w:val="36"/>
        </w:rPr>
        <w:t>第五章   合同草案条款</w:t>
      </w:r>
      <w:bookmarkEnd w:id="692"/>
      <w:bookmarkStart w:id="693" w:name="_Toc179632785"/>
      <w:bookmarkStart w:id="694" w:name="_Toc144974826"/>
      <w:bookmarkStart w:id="695" w:name="_Toc152045767"/>
      <w:bookmarkStart w:id="696" w:name="_Toc152042546"/>
    </w:p>
    <w:bookmarkEnd w:id="693"/>
    <w:bookmarkEnd w:id="694"/>
    <w:bookmarkEnd w:id="695"/>
    <w:bookmarkEnd w:id="696"/>
    <w:p w14:paraId="4A5B68EF">
      <w:pPr>
        <w:spacing w:line="360" w:lineRule="auto"/>
        <w:jc w:val="center"/>
        <w:outlineLvl w:val="0"/>
        <w:rPr>
          <w:rFonts w:ascii="宋体" w:hAnsi="宋体" w:cs="宋体"/>
          <w:sz w:val="24"/>
        </w:rPr>
      </w:pPr>
      <w:r>
        <w:rPr>
          <w:rFonts w:hint="eastAsia" w:ascii="宋体" w:hAnsi="宋体" w:cs="宋体"/>
          <w:sz w:val="24"/>
        </w:rPr>
        <w:t>合同协议书</w:t>
      </w:r>
    </w:p>
    <w:p w14:paraId="2FD5798F">
      <w:pPr>
        <w:tabs>
          <w:tab w:val="left" w:pos="3855"/>
        </w:tabs>
        <w:spacing w:line="360" w:lineRule="auto"/>
        <w:rPr>
          <w:rFonts w:ascii="宋体" w:hAnsi="宋体" w:cs="宋体"/>
          <w:szCs w:val="21"/>
        </w:rPr>
      </w:pPr>
      <w:r>
        <w:rPr>
          <w:rFonts w:hint="eastAsia" w:ascii="宋体" w:hAnsi="宋体" w:cs="宋体"/>
          <w:szCs w:val="21"/>
        </w:rPr>
        <w:t>编号：</w:t>
      </w:r>
    </w:p>
    <w:p w14:paraId="2BA52989">
      <w:pPr>
        <w:tabs>
          <w:tab w:val="left" w:pos="3855"/>
        </w:tabs>
        <w:spacing w:line="360" w:lineRule="auto"/>
        <w:rPr>
          <w:rFonts w:ascii="宋体" w:hAnsi="宋体" w:cs="宋体"/>
          <w:bCs/>
          <w:szCs w:val="21"/>
        </w:rPr>
      </w:pPr>
      <w:r>
        <w:rPr>
          <w:rFonts w:hint="eastAsia" w:ascii="宋体" w:hAnsi="宋体" w:cs="宋体"/>
          <w:bCs/>
          <w:szCs w:val="21"/>
        </w:rPr>
        <w:t>发包人（全称）：</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中国科学院软件研究所</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szCs w:val="21"/>
          <w:u w:val="single"/>
        </w:rPr>
        <w:t xml:space="preserve">  </w:t>
      </w:r>
    </w:p>
    <w:p w14:paraId="7A37244A">
      <w:pPr>
        <w:tabs>
          <w:tab w:val="left" w:pos="3855"/>
        </w:tabs>
        <w:spacing w:line="360" w:lineRule="auto"/>
        <w:rPr>
          <w:rFonts w:ascii="宋体" w:hAnsi="宋体" w:cs="宋体"/>
          <w:bCs/>
          <w:szCs w:val="21"/>
        </w:rPr>
      </w:pPr>
      <w:r>
        <w:rPr>
          <w:rFonts w:hint="eastAsia" w:ascii="宋体" w:hAnsi="宋体" w:cs="宋体"/>
          <w:bCs/>
          <w:szCs w:val="21"/>
        </w:rPr>
        <w:t>法定代表人：</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p>
    <w:p w14:paraId="30781B94">
      <w:pPr>
        <w:tabs>
          <w:tab w:val="left" w:pos="3855"/>
        </w:tabs>
        <w:spacing w:line="360" w:lineRule="auto"/>
        <w:rPr>
          <w:rFonts w:ascii="宋体" w:hAnsi="宋体" w:cs="宋体"/>
          <w:bCs/>
          <w:szCs w:val="21"/>
        </w:rPr>
      </w:pPr>
      <w:r>
        <w:rPr>
          <w:rFonts w:hint="eastAsia" w:ascii="宋体" w:hAnsi="宋体" w:cs="宋体"/>
          <w:bCs/>
          <w:szCs w:val="21"/>
        </w:rPr>
        <w:t>法定注册地址：</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p>
    <w:p w14:paraId="0AC6B770">
      <w:pPr>
        <w:tabs>
          <w:tab w:val="left" w:pos="3855"/>
        </w:tabs>
        <w:spacing w:line="360" w:lineRule="auto"/>
        <w:rPr>
          <w:rFonts w:ascii="宋体" w:hAnsi="宋体" w:cs="宋体"/>
          <w:bCs/>
          <w:szCs w:val="21"/>
        </w:rPr>
      </w:pPr>
      <w:r>
        <w:rPr>
          <w:rFonts w:hint="eastAsia" w:ascii="宋体" w:hAnsi="宋体" w:cs="宋体"/>
          <w:bCs/>
          <w:szCs w:val="21"/>
        </w:rPr>
        <w:t>承包人（全称）：</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p>
    <w:p w14:paraId="0477FFC9">
      <w:pPr>
        <w:tabs>
          <w:tab w:val="left" w:pos="3855"/>
        </w:tabs>
        <w:spacing w:line="360" w:lineRule="auto"/>
        <w:rPr>
          <w:rFonts w:ascii="宋体" w:hAnsi="宋体" w:cs="宋体"/>
          <w:bCs/>
          <w:szCs w:val="21"/>
        </w:rPr>
      </w:pPr>
      <w:r>
        <w:rPr>
          <w:rFonts w:hint="eastAsia" w:ascii="宋体" w:hAnsi="宋体" w:cs="宋体"/>
          <w:bCs/>
          <w:szCs w:val="21"/>
        </w:rPr>
        <w:t>法定代表人：</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p>
    <w:p w14:paraId="0A9C6910">
      <w:pPr>
        <w:tabs>
          <w:tab w:val="left" w:pos="3855"/>
        </w:tabs>
        <w:spacing w:line="360" w:lineRule="auto"/>
        <w:rPr>
          <w:rFonts w:ascii="宋体" w:hAnsi="宋体" w:cs="宋体"/>
          <w:bCs/>
          <w:szCs w:val="21"/>
        </w:rPr>
      </w:pPr>
      <w:r>
        <w:rPr>
          <w:rFonts w:hint="eastAsia" w:ascii="宋体" w:hAnsi="宋体" w:cs="宋体"/>
          <w:bCs/>
          <w:szCs w:val="21"/>
        </w:rPr>
        <w:t>法定注册地址：</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p>
    <w:p w14:paraId="5083E6BD">
      <w:pPr>
        <w:tabs>
          <w:tab w:val="left" w:pos="3855"/>
        </w:tabs>
        <w:spacing w:line="360" w:lineRule="auto"/>
        <w:ind w:firstLine="420" w:firstLineChars="200"/>
        <w:rPr>
          <w:rFonts w:ascii="宋体" w:hAnsi="宋体" w:cs="宋体"/>
          <w:szCs w:val="21"/>
        </w:rPr>
      </w:pPr>
      <w:r>
        <w:rPr>
          <w:rFonts w:hint="eastAsia" w:ascii="宋体" w:hAnsi="宋体" w:cs="宋体"/>
          <w:szCs w:val="21"/>
        </w:rPr>
        <w:t>发包人为建设</w:t>
      </w:r>
      <w:r>
        <w:rPr>
          <w:rFonts w:hint="eastAsia" w:ascii="宋体" w:hAnsi="宋体" w:cs="宋体"/>
          <w:szCs w:val="21"/>
          <w:u w:val="single"/>
        </w:rPr>
        <w:t xml:space="preserve"> </w:t>
      </w:r>
      <w:r>
        <w:rPr>
          <w:rFonts w:hint="eastAsia" w:ascii="宋体" w:hAnsi="宋体" w:cs="宋体"/>
          <w:bCs/>
          <w:szCs w:val="21"/>
          <w:u w:val="single"/>
        </w:rPr>
        <w:t>中国科学院软件研究所7号楼10层装修改造项目</w:t>
      </w:r>
      <w:r>
        <w:rPr>
          <w:rFonts w:hint="eastAsia" w:ascii="宋体" w:hAnsi="宋体" w:cs="宋体"/>
          <w:szCs w:val="21"/>
          <w:u w:val="single"/>
        </w:rPr>
        <w:t xml:space="preserve"> </w:t>
      </w:r>
      <w:r>
        <w:rPr>
          <w:rFonts w:hint="eastAsia" w:ascii="宋体" w:hAnsi="宋体" w:cs="宋体"/>
          <w:szCs w:val="21"/>
        </w:rPr>
        <w:t>（以下简称“本工程”），已接受承包人提出的承担本工程的施工、竣工、交付并维修其任何缺陷的投标。依照《中华人民共和国民法典》、《中华人民共和国建筑法》、《中华人民共和国政府采购法》、及其他有关法律、行政法规，遵循平等、自愿、公平和诚实信用的原则，双方共同达成并订立如下协议。</w:t>
      </w:r>
    </w:p>
    <w:p w14:paraId="6F37BD6B">
      <w:pPr>
        <w:pStyle w:val="272"/>
        <w:numPr>
          <w:ilvl w:val="0"/>
          <w:numId w:val="22"/>
        </w:numPr>
        <w:tabs>
          <w:tab w:val="left" w:pos="3855"/>
        </w:tabs>
        <w:spacing w:line="360" w:lineRule="auto"/>
        <w:ind w:firstLineChars="0"/>
        <w:rPr>
          <w:rFonts w:ascii="宋体" w:hAnsi="宋体" w:cs="宋体"/>
          <w:szCs w:val="21"/>
        </w:rPr>
      </w:pPr>
      <w:r>
        <w:rPr>
          <w:rFonts w:hint="eastAsia" w:ascii="宋体" w:hAnsi="宋体" w:cs="宋体"/>
          <w:szCs w:val="21"/>
        </w:rPr>
        <w:t>工程概况</w:t>
      </w:r>
    </w:p>
    <w:p w14:paraId="486AAD21">
      <w:pPr>
        <w:tabs>
          <w:tab w:val="left" w:pos="3855"/>
        </w:tabs>
        <w:spacing w:line="360" w:lineRule="auto"/>
        <w:rPr>
          <w:rFonts w:ascii="宋体" w:hAnsi="宋体" w:cs="宋体"/>
          <w:szCs w:val="21"/>
          <w:u w:val="single"/>
        </w:rPr>
      </w:pPr>
      <w:r>
        <w:rPr>
          <w:rFonts w:hint="eastAsia" w:ascii="宋体" w:hAnsi="宋体" w:cs="宋体"/>
          <w:szCs w:val="21"/>
        </w:rPr>
        <w:t>工程名称：</w:t>
      </w:r>
      <w:r>
        <w:rPr>
          <w:rFonts w:hint="eastAsia" w:ascii="宋体" w:hAnsi="宋体" w:cs="宋体"/>
          <w:szCs w:val="21"/>
          <w:u w:val="single"/>
        </w:rPr>
        <w:t xml:space="preserve"> </w:t>
      </w:r>
      <w:r>
        <w:rPr>
          <w:rFonts w:hint="eastAsia" w:ascii="宋体" w:hAnsi="宋体" w:cs="宋体"/>
          <w:bCs/>
          <w:szCs w:val="21"/>
          <w:u w:val="single"/>
        </w:rPr>
        <w:t>中国科学院软件研究所7号楼10层装修改造项目</w:t>
      </w:r>
      <w:r>
        <w:rPr>
          <w:rFonts w:hint="eastAsia" w:ascii="宋体" w:hAnsi="宋体" w:cs="宋体"/>
          <w:szCs w:val="21"/>
          <w:u w:val="single"/>
        </w:rPr>
        <w:t xml:space="preserve"> </w:t>
      </w:r>
    </w:p>
    <w:p w14:paraId="3F809D2F">
      <w:pPr>
        <w:tabs>
          <w:tab w:val="left" w:pos="3855"/>
        </w:tabs>
        <w:spacing w:line="360" w:lineRule="auto"/>
        <w:rPr>
          <w:rFonts w:ascii="宋体" w:hAnsi="宋体" w:cs="宋体"/>
          <w:szCs w:val="21"/>
          <w:u w:val="single"/>
        </w:rPr>
      </w:pPr>
      <w:r>
        <w:rPr>
          <w:rFonts w:hint="eastAsia" w:ascii="宋体" w:hAnsi="宋体" w:cs="宋体"/>
          <w:szCs w:val="21"/>
        </w:rPr>
        <w:t>工程地点：</w:t>
      </w:r>
      <w:r>
        <w:rPr>
          <w:rFonts w:hint="eastAsia" w:ascii="宋体" w:hAnsi="宋体" w:cs="宋体"/>
          <w:szCs w:val="21"/>
          <w:u w:val="single"/>
        </w:rPr>
        <w:t xml:space="preserve">                    </w:t>
      </w:r>
      <w:r>
        <w:rPr>
          <w:rFonts w:ascii="宋体" w:hAnsi="宋体" w:cs="宋体"/>
          <w:szCs w:val="21"/>
          <w:u w:val="single"/>
        </w:rPr>
        <w:t xml:space="preserve">                      </w:t>
      </w:r>
    </w:p>
    <w:p w14:paraId="441AF7E1">
      <w:pPr>
        <w:tabs>
          <w:tab w:val="left" w:pos="3855"/>
        </w:tabs>
        <w:spacing w:line="360" w:lineRule="auto"/>
        <w:rPr>
          <w:rFonts w:ascii="宋体" w:hAnsi="宋体" w:cs="宋体"/>
          <w:szCs w:val="21"/>
          <w:u w:val="single"/>
        </w:rPr>
      </w:pPr>
      <w:r>
        <w:rPr>
          <w:rFonts w:hint="eastAsia" w:ascii="宋体" w:hAnsi="宋体" w:cs="宋体"/>
          <w:szCs w:val="21"/>
        </w:rPr>
        <w:t>工程内容：</w:t>
      </w:r>
      <w:bookmarkStart w:id="697" w:name="_Hlk108087175"/>
      <w:r>
        <w:rPr>
          <w:rFonts w:hint="eastAsia" w:ascii="宋体" w:hAnsi="宋体" w:cs="宋体"/>
          <w:szCs w:val="21"/>
          <w:u w:val="single"/>
        </w:rPr>
        <w:t xml:space="preserve"> </w:t>
      </w:r>
      <w:bookmarkEnd w:id="697"/>
      <w:r>
        <w:rPr>
          <w:rFonts w:hint="eastAsia" w:ascii="宋体" w:hAnsi="宋体" w:cs="宋体"/>
          <w:szCs w:val="21"/>
          <w:u w:val="single"/>
        </w:rPr>
        <w:t xml:space="preserve"> </w:t>
      </w:r>
      <w:r>
        <w:rPr>
          <w:rFonts w:ascii="宋体" w:hAnsi="宋体" w:cs="宋体"/>
          <w:szCs w:val="21"/>
          <w:u w:val="single"/>
        </w:rPr>
        <w:t xml:space="preserve">                                        </w:t>
      </w:r>
    </w:p>
    <w:p w14:paraId="59A44A7A">
      <w:pPr>
        <w:tabs>
          <w:tab w:val="left" w:pos="3855"/>
        </w:tabs>
        <w:spacing w:line="360" w:lineRule="auto"/>
        <w:rPr>
          <w:rFonts w:ascii="宋体" w:hAnsi="宋体" w:cs="宋体"/>
          <w:szCs w:val="21"/>
        </w:rPr>
      </w:pPr>
      <w:r>
        <w:rPr>
          <w:rFonts w:hint="eastAsia" w:ascii="宋体" w:hAnsi="宋体" w:cs="宋体"/>
          <w:szCs w:val="21"/>
        </w:rPr>
        <w:t>二、工程承包范围</w:t>
      </w:r>
    </w:p>
    <w:p w14:paraId="0ECA1F10">
      <w:pPr>
        <w:tabs>
          <w:tab w:val="left" w:pos="3855"/>
        </w:tabs>
        <w:spacing w:line="360" w:lineRule="auto"/>
        <w:rPr>
          <w:rFonts w:ascii="宋体" w:hAnsi="宋体" w:cs="宋体"/>
          <w:szCs w:val="21"/>
        </w:rPr>
      </w:pPr>
      <w:r>
        <w:rPr>
          <w:rFonts w:hint="eastAsia" w:ascii="宋体" w:hAnsi="宋体" w:cs="宋体"/>
          <w:szCs w:val="21"/>
        </w:rPr>
        <w:t>承包范围：</w:t>
      </w:r>
      <w:r>
        <w:rPr>
          <w:rFonts w:hint="eastAsia" w:ascii="宋体" w:hAnsi="宋体" w:cs="宋体"/>
          <w:szCs w:val="21"/>
          <w:u w:val="single"/>
        </w:rPr>
        <w:t xml:space="preserve"> 包括但不限图纸范围内的拆除工程、装饰装修工程、电气工程、弱电工程、暖通工程等施工图纸范围及工程量清单的全部工程。</w:t>
      </w:r>
    </w:p>
    <w:p w14:paraId="7B165C23">
      <w:pPr>
        <w:tabs>
          <w:tab w:val="left" w:pos="3855"/>
        </w:tabs>
        <w:spacing w:line="360" w:lineRule="auto"/>
        <w:rPr>
          <w:rFonts w:ascii="宋体" w:hAnsi="宋体" w:cs="宋体"/>
          <w:szCs w:val="21"/>
        </w:rPr>
      </w:pPr>
      <w:r>
        <w:rPr>
          <w:rFonts w:hint="eastAsia" w:ascii="宋体" w:hAnsi="宋体" w:cs="宋体"/>
          <w:szCs w:val="21"/>
        </w:rPr>
        <w:t>三、合同工期</w:t>
      </w:r>
    </w:p>
    <w:p w14:paraId="23D994D1">
      <w:pPr>
        <w:tabs>
          <w:tab w:val="left" w:pos="3855"/>
        </w:tabs>
        <w:spacing w:line="360" w:lineRule="auto"/>
        <w:rPr>
          <w:rFonts w:ascii="宋体" w:hAnsi="宋体" w:cs="宋体"/>
          <w:szCs w:val="21"/>
          <w:u w:val="single"/>
        </w:rPr>
      </w:pPr>
      <w:r>
        <w:rPr>
          <w:rFonts w:hint="eastAsia" w:ascii="宋体" w:hAnsi="宋体" w:cs="宋体"/>
          <w:szCs w:val="21"/>
        </w:rPr>
        <w:t>计划开工日期：</w:t>
      </w:r>
      <w:r>
        <w:rPr>
          <w:rFonts w:hint="eastAsia" w:ascii="宋体" w:hAnsi="宋体" w:cs="宋体"/>
          <w:szCs w:val="21"/>
          <w:u w:val="single"/>
        </w:rPr>
        <w:t xml:space="preserve"> </w:t>
      </w:r>
      <w:r>
        <w:rPr>
          <w:rFonts w:ascii="宋体" w:hAnsi="宋体" w:cs="宋体"/>
          <w:szCs w:val="21"/>
          <w:u w:val="single"/>
        </w:rPr>
        <w:t>2025</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6</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20</w:t>
      </w:r>
      <w:r>
        <w:rPr>
          <w:rFonts w:hint="eastAsia" w:ascii="宋体" w:hAnsi="宋体" w:cs="宋体"/>
          <w:szCs w:val="21"/>
          <w:u w:val="single"/>
        </w:rPr>
        <w:t xml:space="preserve"> </w:t>
      </w:r>
      <w:r>
        <w:rPr>
          <w:rFonts w:hint="eastAsia" w:ascii="宋体" w:hAnsi="宋体" w:cs="宋体"/>
          <w:szCs w:val="21"/>
        </w:rPr>
        <w:t>日</w:t>
      </w:r>
    </w:p>
    <w:p w14:paraId="6D2ED131">
      <w:pPr>
        <w:tabs>
          <w:tab w:val="left" w:pos="3855"/>
        </w:tabs>
        <w:spacing w:line="360" w:lineRule="auto"/>
        <w:rPr>
          <w:rFonts w:ascii="宋体" w:hAnsi="宋体" w:cs="宋体"/>
          <w:szCs w:val="21"/>
          <w:u w:val="single"/>
        </w:rPr>
      </w:pPr>
      <w:r>
        <w:rPr>
          <w:rFonts w:hint="eastAsia" w:ascii="宋体" w:hAnsi="宋体" w:cs="宋体"/>
          <w:szCs w:val="21"/>
        </w:rPr>
        <w:t>计划竣工日期：</w:t>
      </w:r>
      <w:r>
        <w:rPr>
          <w:rFonts w:hint="eastAsia" w:ascii="宋体" w:hAnsi="宋体" w:cs="宋体"/>
          <w:szCs w:val="21"/>
          <w:u w:val="single"/>
        </w:rPr>
        <w:t xml:space="preserve"> </w:t>
      </w:r>
      <w:r>
        <w:rPr>
          <w:rFonts w:ascii="宋体" w:hAnsi="宋体" w:cs="宋体"/>
          <w:szCs w:val="21"/>
          <w:u w:val="single"/>
        </w:rPr>
        <w:t>202</w:t>
      </w:r>
      <w:r>
        <w:rPr>
          <w:rFonts w:hint="eastAsia" w:ascii="宋体" w:hAnsi="宋体" w:cs="宋体"/>
          <w:szCs w:val="21"/>
          <w:u w:val="single"/>
        </w:rPr>
        <w:t xml:space="preserve">4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20</w:t>
      </w:r>
      <w:r>
        <w:rPr>
          <w:rFonts w:hint="eastAsia" w:ascii="宋体" w:hAnsi="宋体" w:cs="宋体"/>
          <w:szCs w:val="21"/>
          <w:u w:val="single"/>
        </w:rPr>
        <w:t xml:space="preserve"> </w:t>
      </w:r>
      <w:r>
        <w:rPr>
          <w:rFonts w:hint="eastAsia" w:ascii="宋体" w:hAnsi="宋体" w:cs="宋体"/>
          <w:szCs w:val="21"/>
        </w:rPr>
        <w:t>日</w:t>
      </w:r>
    </w:p>
    <w:p w14:paraId="381C38A4">
      <w:pPr>
        <w:tabs>
          <w:tab w:val="left" w:pos="3855"/>
        </w:tabs>
        <w:spacing w:line="360" w:lineRule="auto"/>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 xml:space="preserve">  </w:t>
      </w:r>
      <w:r>
        <w:rPr>
          <w:rFonts w:ascii="宋体" w:hAnsi="宋体" w:cs="宋体"/>
          <w:szCs w:val="21"/>
          <w:u w:val="single"/>
        </w:rPr>
        <w:t xml:space="preserve">  30 </w:t>
      </w:r>
      <w:r>
        <w:rPr>
          <w:rFonts w:hint="eastAsia" w:ascii="宋体" w:hAnsi="宋体" w:cs="宋体"/>
          <w:szCs w:val="21"/>
          <w:u w:val="single"/>
        </w:rPr>
        <w:t xml:space="preserve"> </w:t>
      </w:r>
      <w:r>
        <w:rPr>
          <w:rFonts w:hint="eastAsia" w:ascii="宋体" w:hAnsi="宋体" w:cs="宋体"/>
          <w:szCs w:val="21"/>
        </w:rPr>
        <w:t>天，自监理人发出的开工通知中写明的开工日期或承包人实际进场施工的日期，以实际先开始者为准。</w:t>
      </w:r>
    </w:p>
    <w:p w14:paraId="2DB5BE86">
      <w:pPr>
        <w:tabs>
          <w:tab w:val="left" w:pos="3855"/>
        </w:tabs>
        <w:spacing w:line="360" w:lineRule="auto"/>
        <w:rPr>
          <w:rFonts w:ascii="宋体" w:hAnsi="宋体" w:cs="宋体"/>
          <w:szCs w:val="21"/>
        </w:rPr>
      </w:pPr>
      <w:r>
        <w:rPr>
          <w:rFonts w:hint="eastAsia" w:ascii="宋体" w:hAnsi="宋体" w:cs="宋体"/>
          <w:szCs w:val="21"/>
        </w:rPr>
        <w:t>四、质量标准</w:t>
      </w:r>
    </w:p>
    <w:p w14:paraId="305AF771">
      <w:pPr>
        <w:tabs>
          <w:tab w:val="left" w:pos="3855"/>
        </w:tabs>
        <w:spacing w:line="360" w:lineRule="auto"/>
        <w:rPr>
          <w:rFonts w:ascii="宋体" w:hAnsi="宋体" w:cs="宋体"/>
          <w:szCs w:val="21"/>
          <w:u w:val="single"/>
        </w:rPr>
      </w:pPr>
      <w:r>
        <w:rPr>
          <w:rFonts w:hint="eastAsia" w:ascii="宋体" w:hAnsi="宋体" w:cs="宋体"/>
          <w:szCs w:val="21"/>
        </w:rPr>
        <w:t>工程质量标准：</w:t>
      </w:r>
      <w:r>
        <w:rPr>
          <w:rFonts w:hint="eastAsia" w:ascii="宋体" w:hAnsi="宋体" w:cs="宋体"/>
          <w:szCs w:val="21"/>
          <w:u w:val="single"/>
        </w:rPr>
        <w:t xml:space="preserve"> 合格     </w:t>
      </w:r>
      <w:r>
        <w:rPr>
          <w:rFonts w:hint="eastAsia" w:ascii="宋体" w:hAnsi="宋体" w:cs="宋体"/>
          <w:szCs w:val="21"/>
        </w:rPr>
        <w:t xml:space="preserve">。 </w:t>
      </w:r>
    </w:p>
    <w:p w14:paraId="2CD37EF2">
      <w:pPr>
        <w:tabs>
          <w:tab w:val="left" w:pos="3855"/>
        </w:tabs>
        <w:spacing w:line="360" w:lineRule="auto"/>
        <w:rPr>
          <w:rFonts w:ascii="宋体" w:hAnsi="宋体" w:cs="宋体"/>
          <w:szCs w:val="21"/>
        </w:rPr>
      </w:pPr>
      <w:r>
        <w:rPr>
          <w:rFonts w:hint="eastAsia" w:ascii="宋体" w:hAnsi="宋体" w:cs="宋体"/>
          <w:szCs w:val="21"/>
        </w:rPr>
        <w:t>施工现场安全生产标准化管理目标等级：</w:t>
      </w:r>
      <w:r>
        <w:rPr>
          <w:rFonts w:hint="eastAsia" w:ascii="宋体" w:hAnsi="宋体" w:cs="宋体"/>
          <w:szCs w:val="21"/>
          <w:u w:val="single"/>
        </w:rPr>
        <w:t xml:space="preserve"> 达标  </w:t>
      </w:r>
      <w:r>
        <w:rPr>
          <w:rFonts w:hint="eastAsia" w:ascii="宋体" w:hAnsi="宋体" w:cs="宋体"/>
          <w:szCs w:val="21"/>
        </w:rPr>
        <w:t>。</w:t>
      </w:r>
    </w:p>
    <w:p w14:paraId="48B9DC09">
      <w:pPr>
        <w:tabs>
          <w:tab w:val="left" w:pos="3855"/>
        </w:tabs>
        <w:spacing w:line="360" w:lineRule="auto"/>
        <w:rPr>
          <w:rFonts w:ascii="宋体" w:hAnsi="宋体" w:cs="宋体"/>
          <w:bCs/>
          <w:szCs w:val="21"/>
        </w:rPr>
      </w:pPr>
      <w:r>
        <w:rPr>
          <w:rFonts w:hint="eastAsia" w:ascii="宋体" w:hAnsi="宋体" w:cs="宋体"/>
          <w:bCs/>
          <w:szCs w:val="21"/>
        </w:rPr>
        <w:t>五、合同形式</w:t>
      </w:r>
    </w:p>
    <w:p w14:paraId="1D3B221C">
      <w:pPr>
        <w:tabs>
          <w:tab w:val="left" w:pos="3855"/>
        </w:tabs>
        <w:spacing w:line="360" w:lineRule="auto"/>
        <w:rPr>
          <w:rFonts w:ascii="宋体" w:hAnsi="宋体" w:cs="宋体"/>
          <w:b/>
          <w:szCs w:val="21"/>
          <w:u w:val="single"/>
        </w:rPr>
      </w:pPr>
      <w:r>
        <w:rPr>
          <w:rFonts w:hint="eastAsia" w:ascii="宋体" w:hAnsi="宋体" w:cs="宋体"/>
          <w:szCs w:val="21"/>
        </w:rPr>
        <w:t>本合同采用</w:t>
      </w:r>
      <w:r>
        <w:rPr>
          <w:rFonts w:hint="eastAsia" w:ascii="宋体" w:hAnsi="宋体" w:cs="宋体"/>
          <w:szCs w:val="21"/>
          <w:u w:val="single"/>
        </w:rPr>
        <w:t xml:space="preserve">  固定单价  </w:t>
      </w:r>
      <w:r>
        <w:rPr>
          <w:rFonts w:hint="eastAsia" w:ascii="宋体" w:hAnsi="宋体" w:cs="宋体"/>
          <w:szCs w:val="21"/>
        </w:rPr>
        <w:t>合同形式。</w:t>
      </w:r>
    </w:p>
    <w:p w14:paraId="009841AD">
      <w:pPr>
        <w:tabs>
          <w:tab w:val="left" w:pos="3855"/>
        </w:tabs>
        <w:spacing w:line="360" w:lineRule="auto"/>
        <w:rPr>
          <w:rFonts w:ascii="宋体" w:hAnsi="宋体" w:cs="宋体"/>
          <w:bCs/>
          <w:szCs w:val="21"/>
        </w:rPr>
      </w:pPr>
      <w:r>
        <w:rPr>
          <w:rFonts w:hint="eastAsia" w:ascii="宋体" w:hAnsi="宋体" w:cs="宋体"/>
          <w:bCs/>
          <w:szCs w:val="21"/>
        </w:rPr>
        <w:t>六、签约合同价</w:t>
      </w:r>
    </w:p>
    <w:p w14:paraId="6C1C317B">
      <w:pPr>
        <w:tabs>
          <w:tab w:val="left" w:pos="3855"/>
        </w:tabs>
        <w:spacing w:line="360" w:lineRule="auto"/>
        <w:rPr>
          <w:rFonts w:ascii="宋体" w:hAnsi="宋体" w:cs="宋体"/>
          <w:szCs w:val="21"/>
        </w:rPr>
      </w:pPr>
      <w:r>
        <w:rPr>
          <w:rFonts w:hint="eastAsia" w:ascii="宋体" w:hAnsi="宋体" w:cs="宋体"/>
          <w:szCs w:val="21"/>
        </w:rPr>
        <w:t>金额（大写）：</w:t>
      </w:r>
      <w:r>
        <w:rPr>
          <w:rFonts w:hint="eastAsia" w:ascii="宋体" w:hAnsi="宋体" w:cs="宋体"/>
          <w:szCs w:val="21"/>
          <w:u w:val="single"/>
        </w:rPr>
        <w:t xml:space="preserve">        </w:t>
      </w:r>
      <w:r>
        <w:rPr>
          <w:rFonts w:hint="eastAsia" w:ascii="宋体" w:hAnsi="宋体" w:cs="宋体"/>
          <w:szCs w:val="21"/>
        </w:rPr>
        <w:t>（人民币）</w:t>
      </w:r>
    </w:p>
    <w:p w14:paraId="10A33F43">
      <w:pPr>
        <w:tabs>
          <w:tab w:val="left" w:pos="3855"/>
        </w:tabs>
        <w:spacing w:line="360" w:lineRule="auto"/>
        <w:rPr>
          <w:rFonts w:ascii="宋体" w:hAnsi="宋体" w:cs="宋体"/>
          <w:szCs w:val="21"/>
        </w:rPr>
      </w:pP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w:t>
      </w:r>
    </w:p>
    <w:p w14:paraId="61BEAADB">
      <w:pPr>
        <w:tabs>
          <w:tab w:val="left" w:pos="3855"/>
        </w:tabs>
        <w:spacing w:line="360" w:lineRule="auto"/>
        <w:rPr>
          <w:rFonts w:ascii="宋体" w:hAnsi="宋体" w:cs="宋体"/>
          <w:szCs w:val="21"/>
        </w:rPr>
      </w:pPr>
      <w:r>
        <w:rPr>
          <w:rFonts w:hint="eastAsia" w:ascii="宋体" w:hAnsi="宋体" w:cs="宋体"/>
          <w:szCs w:val="21"/>
        </w:rPr>
        <w:t>其中：安全文明施工费：</w:t>
      </w:r>
      <w:r>
        <w:rPr>
          <w:rFonts w:hint="eastAsia" w:ascii="宋体" w:hAnsi="宋体" w:cs="宋体"/>
          <w:szCs w:val="21"/>
          <w:u w:val="single"/>
        </w:rPr>
        <w:t xml:space="preserve">           </w:t>
      </w:r>
      <w:r>
        <w:rPr>
          <w:rFonts w:hint="eastAsia" w:ascii="宋体" w:hAnsi="宋体" w:cs="宋体"/>
          <w:szCs w:val="21"/>
        </w:rPr>
        <w:t>元</w:t>
      </w:r>
    </w:p>
    <w:p w14:paraId="6AAD7244">
      <w:pPr>
        <w:tabs>
          <w:tab w:val="left" w:pos="3855"/>
        </w:tabs>
        <w:spacing w:line="360" w:lineRule="auto"/>
        <w:rPr>
          <w:rFonts w:ascii="宋体" w:hAnsi="宋体" w:cs="宋体"/>
          <w:szCs w:val="21"/>
        </w:rPr>
      </w:pPr>
      <w:r>
        <w:rPr>
          <w:rFonts w:hint="eastAsia" w:ascii="宋体" w:hAnsi="宋体" w:cs="宋体"/>
          <w:szCs w:val="21"/>
        </w:rPr>
        <w:t xml:space="preserve">      暂列金额（含税）：</w:t>
      </w:r>
      <w:r>
        <w:rPr>
          <w:rFonts w:hint="eastAsia" w:ascii="宋体" w:hAnsi="宋体" w:cs="宋体"/>
          <w:szCs w:val="21"/>
          <w:u w:val="single"/>
        </w:rPr>
        <w:t xml:space="preserve">              </w:t>
      </w:r>
      <w:r>
        <w:rPr>
          <w:rFonts w:hint="eastAsia" w:ascii="宋体" w:hAnsi="宋体" w:cs="宋体"/>
          <w:szCs w:val="21"/>
        </w:rPr>
        <w:t>元</w:t>
      </w:r>
    </w:p>
    <w:p w14:paraId="1B058B53">
      <w:pPr>
        <w:tabs>
          <w:tab w:val="left" w:pos="3855"/>
        </w:tabs>
        <w:spacing w:line="360" w:lineRule="auto"/>
        <w:ind w:firstLine="630" w:firstLineChars="300"/>
        <w:rPr>
          <w:rFonts w:ascii="宋体" w:hAnsi="宋体" w:cs="宋体"/>
          <w:szCs w:val="21"/>
        </w:rPr>
      </w:pPr>
      <w:r>
        <w:rPr>
          <w:rFonts w:hint="eastAsia" w:ascii="宋体" w:hAnsi="宋体" w:cs="宋体"/>
          <w:bCs/>
          <w:szCs w:val="21"/>
        </w:rPr>
        <w:t>专业工程暂估价</w:t>
      </w:r>
      <w:r>
        <w:rPr>
          <w:rFonts w:hint="eastAsia" w:ascii="宋体" w:hAnsi="宋体" w:cs="宋体"/>
          <w:szCs w:val="21"/>
        </w:rPr>
        <w:t>（含税）</w:t>
      </w:r>
      <w:r>
        <w:rPr>
          <w:rFonts w:hint="eastAsia" w:ascii="宋体" w:hAnsi="宋体" w:cs="宋体"/>
          <w:bCs/>
          <w:szCs w:val="21"/>
        </w:rPr>
        <w:t>：</w:t>
      </w:r>
      <w:r>
        <w:rPr>
          <w:rFonts w:hint="eastAsia" w:ascii="宋体" w:hAnsi="宋体" w:cs="宋体"/>
          <w:szCs w:val="21"/>
          <w:u w:val="single"/>
        </w:rPr>
        <w:t xml:space="preserve">         </w:t>
      </w:r>
      <w:r>
        <w:rPr>
          <w:rFonts w:hint="eastAsia" w:ascii="宋体" w:hAnsi="宋体" w:cs="宋体"/>
          <w:szCs w:val="21"/>
        </w:rPr>
        <w:t>元</w:t>
      </w:r>
    </w:p>
    <w:p w14:paraId="3EBEA2DA">
      <w:pPr>
        <w:tabs>
          <w:tab w:val="left" w:pos="3855"/>
        </w:tabs>
        <w:spacing w:line="360" w:lineRule="auto"/>
        <w:rPr>
          <w:rFonts w:ascii="宋体" w:hAnsi="宋体" w:cs="宋体"/>
          <w:bCs/>
          <w:szCs w:val="21"/>
        </w:rPr>
      </w:pPr>
      <w:r>
        <w:rPr>
          <w:rFonts w:hint="eastAsia" w:ascii="宋体" w:hAnsi="宋体" w:cs="宋体"/>
          <w:bCs/>
          <w:szCs w:val="21"/>
        </w:rPr>
        <w:t>七、承包人项目经理：</w:t>
      </w:r>
    </w:p>
    <w:p w14:paraId="327A6BC6">
      <w:pPr>
        <w:tabs>
          <w:tab w:val="left" w:pos="3855"/>
        </w:tabs>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职称：</w:t>
      </w:r>
      <w:r>
        <w:rPr>
          <w:rFonts w:hint="eastAsia" w:ascii="宋体" w:hAnsi="宋体" w:cs="宋体"/>
          <w:szCs w:val="21"/>
          <w:u w:val="single"/>
        </w:rPr>
        <w:t xml:space="preserve">      </w:t>
      </w:r>
      <w:r>
        <w:rPr>
          <w:rFonts w:hint="eastAsia" w:ascii="宋体" w:hAnsi="宋体" w:cs="宋体"/>
          <w:szCs w:val="21"/>
        </w:rPr>
        <w:t>；</w:t>
      </w:r>
    </w:p>
    <w:p w14:paraId="1D8557F5">
      <w:pPr>
        <w:tabs>
          <w:tab w:val="left" w:pos="3855"/>
        </w:tabs>
        <w:spacing w:line="360" w:lineRule="auto"/>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   建造师执业资格证书号：</w:t>
      </w:r>
      <w:r>
        <w:rPr>
          <w:rFonts w:hint="eastAsia" w:ascii="宋体" w:hAnsi="宋体" w:cs="宋体"/>
          <w:szCs w:val="21"/>
          <w:u w:val="single"/>
        </w:rPr>
        <w:t xml:space="preserve">       </w:t>
      </w:r>
      <w:r>
        <w:rPr>
          <w:rFonts w:hint="eastAsia" w:ascii="宋体" w:hAnsi="宋体" w:cs="宋体"/>
          <w:szCs w:val="21"/>
        </w:rPr>
        <w:t>；</w:t>
      </w:r>
    </w:p>
    <w:p w14:paraId="1F8C215B">
      <w:pPr>
        <w:tabs>
          <w:tab w:val="left" w:pos="3855"/>
        </w:tabs>
        <w:spacing w:line="360" w:lineRule="auto"/>
        <w:rPr>
          <w:rFonts w:ascii="宋体" w:hAnsi="宋体" w:cs="宋体"/>
          <w:szCs w:val="21"/>
        </w:rPr>
      </w:pPr>
      <w:r>
        <w:rPr>
          <w:rFonts w:hint="eastAsia" w:ascii="宋体" w:hAnsi="宋体" w:cs="宋体"/>
          <w:szCs w:val="21"/>
        </w:rPr>
        <w:t xml:space="preserve">建造师注册证书号: </w:t>
      </w:r>
      <w:r>
        <w:rPr>
          <w:rFonts w:hint="eastAsia" w:ascii="宋体" w:hAnsi="宋体" w:cs="宋体"/>
          <w:szCs w:val="21"/>
          <w:u w:val="single"/>
        </w:rPr>
        <w:t xml:space="preserve">            </w:t>
      </w:r>
      <w:r>
        <w:rPr>
          <w:rFonts w:hint="eastAsia" w:ascii="宋体" w:hAnsi="宋体" w:cs="宋体"/>
          <w:szCs w:val="21"/>
        </w:rPr>
        <w:t>。</w:t>
      </w:r>
    </w:p>
    <w:p w14:paraId="5DE8613F">
      <w:pPr>
        <w:tabs>
          <w:tab w:val="left" w:pos="3855"/>
        </w:tabs>
        <w:spacing w:line="360" w:lineRule="auto"/>
        <w:rPr>
          <w:rFonts w:ascii="宋体" w:hAnsi="宋体" w:cs="宋体"/>
          <w:szCs w:val="21"/>
        </w:rPr>
      </w:pPr>
      <w:r>
        <w:rPr>
          <w:rFonts w:hint="eastAsia" w:ascii="宋体" w:hAnsi="宋体" w:cs="宋体"/>
          <w:szCs w:val="21"/>
        </w:rPr>
        <w:t xml:space="preserve">建造师执业印章号: </w:t>
      </w:r>
      <w:r>
        <w:rPr>
          <w:rFonts w:hint="eastAsia" w:ascii="宋体" w:hAnsi="宋体" w:cs="宋体"/>
          <w:szCs w:val="21"/>
          <w:u w:val="single"/>
        </w:rPr>
        <w:t xml:space="preserve">            </w:t>
      </w:r>
      <w:r>
        <w:rPr>
          <w:rFonts w:hint="eastAsia" w:ascii="宋体" w:hAnsi="宋体" w:cs="宋体"/>
          <w:szCs w:val="21"/>
        </w:rPr>
        <w:t>。</w:t>
      </w:r>
    </w:p>
    <w:p w14:paraId="36E788C7">
      <w:pPr>
        <w:tabs>
          <w:tab w:val="left" w:pos="3855"/>
        </w:tabs>
        <w:spacing w:line="360" w:lineRule="auto"/>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xml:space="preserve">         </w:t>
      </w:r>
      <w:r>
        <w:rPr>
          <w:rFonts w:hint="eastAsia" w:ascii="宋体" w:hAnsi="宋体" w:cs="宋体"/>
          <w:szCs w:val="21"/>
        </w:rPr>
        <w:t xml:space="preserve"> 。</w:t>
      </w:r>
    </w:p>
    <w:p w14:paraId="6B76FA6E">
      <w:pPr>
        <w:tabs>
          <w:tab w:val="left" w:pos="3855"/>
        </w:tabs>
        <w:spacing w:line="360" w:lineRule="auto"/>
        <w:rPr>
          <w:rFonts w:ascii="宋体" w:hAnsi="宋体" w:cs="宋体"/>
          <w:szCs w:val="21"/>
        </w:rPr>
      </w:pPr>
      <w:r>
        <w:rPr>
          <w:rFonts w:hint="eastAsia" w:ascii="宋体" w:hAnsi="宋体" w:cs="宋体"/>
          <w:szCs w:val="21"/>
        </w:rPr>
        <w:t>八、合同文件的组成</w:t>
      </w:r>
    </w:p>
    <w:p w14:paraId="4E723A62">
      <w:pPr>
        <w:tabs>
          <w:tab w:val="left" w:pos="3855"/>
        </w:tabs>
        <w:spacing w:line="360" w:lineRule="auto"/>
        <w:rPr>
          <w:rFonts w:ascii="宋体" w:hAnsi="宋体" w:cs="宋体"/>
          <w:szCs w:val="21"/>
        </w:rPr>
      </w:pPr>
      <w:r>
        <w:rPr>
          <w:rFonts w:hint="eastAsia" w:ascii="宋体" w:hAnsi="宋体" w:cs="宋体"/>
          <w:szCs w:val="21"/>
        </w:rPr>
        <w:t xml:space="preserve"> 下列文件共同构成合同文件：</w:t>
      </w:r>
    </w:p>
    <w:p w14:paraId="0F369526">
      <w:pPr>
        <w:tabs>
          <w:tab w:val="left" w:pos="3855"/>
        </w:tabs>
        <w:spacing w:line="360" w:lineRule="auto"/>
        <w:rPr>
          <w:rFonts w:ascii="宋体" w:hAnsi="宋体" w:cs="宋体"/>
          <w:szCs w:val="21"/>
        </w:rPr>
      </w:pPr>
      <w:r>
        <w:rPr>
          <w:rFonts w:hint="eastAsia" w:ascii="宋体" w:hAnsi="宋体" w:cs="宋体"/>
          <w:szCs w:val="21"/>
        </w:rPr>
        <w:t>1、本协议书；</w:t>
      </w:r>
    </w:p>
    <w:p w14:paraId="3C049A96">
      <w:pPr>
        <w:tabs>
          <w:tab w:val="left" w:pos="3855"/>
        </w:tabs>
        <w:spacing w:line="360" w:lineRule="auto"/>
        <w:rPr>
          <w:rFonts w:ascii="宋体" w:hAnsi="宋体" w:cs="宋体"/>
          <w:szCs w:val="21"/>
        </w:rPr>
      </w:pPr>
      <w:r>
        <w:rPr>
          <w:rFonts w:hint="eastAsia" w:ascii="宋体" w:hAnsi="宋体" w:cs="宋体"/>
          <w:szCs w:val="21"/>
        </w:rPr>
        <w:t>2、成交通知书；</w:t>
      </w:r>
    </w:p>
    <w:p w14:paraId="17AB46C9">
      <w:pPr>
        <w:tabs>
          <w:tab w:val="left" w:pos="3855"/>
        </w:tabs>
        <w:spacing w:line="360" w:lineRule="auto"/>
        <w:rPr>
          <w:rFonts w:ascii="宋体" w:hAnsi="宋体" w:cs="宋体"/>
          <w:szCs w:val="21"/>
        </w:rPr>
      </w:pPr>
      <w:r>
        <w:rPr>
          <w:rFonts w:hint="eastAsia" w:ascii="宋体" w:hAnsi="宋体" w:cs="宋体"/>
          <w:szCs w:val="21"/>
        </w:rPr>
        <w:t>3、响应书及报价一览表；</w:t>
      </w:r>
    </w:p>
    <w:p w14:paraId="20C73BC7">
      <w:pPr>
        <w:tabs>
          <w:tab w:val="left" w:pos="3855"/>
        </w:tabs>
        <w:spacing w:line="360" w:lineRule="auto"/>
        <w:rPr>
          <w:rFonts w:ascii="宋体" w:hAnsi="宋体" w:cs="宋体"/>
          <w:szCs w:val="21"/>
        </w:rPr>
      </w:pPr>
      <w:r>
        <w:rPr>
          <w:rFonts w:hint="eastAsia" w:ascii="宋体" w:hAnsi="宋体" w:cs="宋体"/>
          <w:szCs w:val="21"/>
        </w:rPr>
        <w:t>4、专用合同条款；</w:t>
      </w:r>
    </w:p>
    <w:p w14:paraId="164D01F5">
      <w:pPr>
        <w:tabs>
          <w:tab w:val="left" w:pos="3855"/>
        </w:tabs>
        <w:spacing w:line="360" w:lineRule="auto"/>
        <w:rPr>
          <w:rFonts w:ascii="宋体" w:hAnsi="宋体" w:cs="宋体"/>
          <w:szCs w:val="21"/>
        </w:rPr>
      </w:pPr>
      <w:r>
        <w:rPr>
          <w:rFonts w:hint="eastAsia" w:ascii="宋体" w:hAnsi="宋体" w:cs="宋体"/>
          <w:szCs w:val="21"/>
        </w:rPr>
        <w:t>5、通用合同条款；</w:t>
      </w:r>
    </w:p>
    <w:p w14:paraId="2350E47B">
      <w:pPr>
        <w:tabs>
          <w:tab w:val="left" w:pos="3855"/>
        </w:tabs>
        <w:spacing w:line="360" w:lineRule="auto"/>
        <w:rPr>
          <w:rFonts w:ascii="宋体" w:hAnsi="宋体" w:cs="宋体"/>
          <w:szCs w:val="21"/>
        </w:rPr>
      </w:pPr>
      <w:r>
        <w:rPr>
          <w:rFonts w:hint="eastAsia" w:ascii="宋体" w:hAnsi="宋体" w:cs="宋体"/>
          <w:szCs w:val="21"/>
        </w:rPr>
        <w:t>6、图纸；</w:t>
      </w:r>
    </w:p>
    <w:p w14:paraId="7159F94E">
      <w:pPr>
        <w:tabs>
          <w:tab w:val="left" w:pos="3855"/>
        </w:tabs>
        <w:spacing w:line="360" w:lineRule="auto"/>
        <w:rPr>
          <w:rFonts w:ascii="宋体" w:hAnsi="宋体" w:cs="宋体"/>
          <w:szCs w:val="21"/>
        </w:rPr>
      </w:pPr>
      <w:r>
        <w:rPr>
          <w:rFonts w:hint="eastAsia" w:ascii="宋体" w:hAnsi="宋体" w:cs="宋体"/>
          <w:szCs w:val="21"/>
        </w:rPr>
        <w:t>7、已标价工程量清单；</w:t>
      </w:r>
    </w:p>
    <w:p w14:paraId="23BE0F23">
      <w:pPr>
        <w:tabs>
          <w:tab w:val="left" w:pos="3855"/>
        </w:tabs>
        <w:spacing w:line="360" w:lineRule="auto"/>
        <w:rPr>
          <w:rFonts w:ascii="宋体" w:hAnsi="宋体" w:cs="宋体"/>
          <w:szCs w:val="21"/>
        </w:rPr>
      </w:pPr>
      <w:r>
        <w:rPr>
          <w:rFonts w:hint="eastAsia" w:ascii="宋体" w:hAnsi="宋体" w:cs="宋体"/>
          <w:szCs w:val="21"/>
        </w:rPr>
        <w:t>8、技术标准和要求；</w:t>
      </w:r>
    </w:p>
    <w:p w14:paraId="4D577779">
      <w:pPr>
        <w:tabs>
          <w:tab w:val="left" w:pos="3855"/>
        </w:tabs>
        <w:spacing w:line="360" w:lineRule="auto"/>
        <w:rPr>
          <w:rFonts w:ascii="宋体" w:hAnsi="宋体" w:cs="宋体"/>
          <w:szCs w:val="21"/>
        </w:rPr>
      </w:pPr>
      <w:r>
        <w:rPr>
          <w:rFonts w:hint="eastAsia" w:ascii="宋体" w:hAnsi="宋体" w:cs="宋体"/>
          <w:szCs w:val="21"/>
        </w:rPr>
        <w:t>9、其他合同文件。</w:t>
      </w:r>
    </w:p>
    <w:p w14:paraId="2F8F3AEB">
      <w:pPr>
        <w:tabs>
          <w:tab w:val="left" w:pos="3855"/>
        </w:tabs>
        <w:spacing w:line="360" w:lineRule="auto"/>
        <w:rPr>
          <w:rFonts w:ascii="宋体" w:hAnsi="宋体" w:cs="宋体"/>
          <w:szCs w:val="21"/>
        </w:rPr>
      </w:pPr>
      <w:r>
        <w:rPr>
          <w:rFonts w:hint="eastAsia" w:ascii="宋体" w:hAnsi="宋体" w:cs="宋体"/>
          <w:szCs w:val="21"/>
        </w:rPr>
        <w:t>上述文件互相补充和解释，如有不明确或不一致之处，以合同专用条款中约定的次序在先者为准。</w:t>
      </w:r>
    </w:p>
    <w:p w14:paraId="24D41AAC">
      <w:pPr>
        <w:tabs>
          <w:tab w:val="left" w:pos="3855"/>
        </w:tabs>
        <w:spacing w:line="360" w:lineRule="auto"/>
        <w:rPr>
          <w:rFonts w:ascii="宋体" w:hAnsi="宋体" w:cs="宋体"/>
          <w:szCs w:val="21"/>
        </w:rPr>
      </w:pPr>
      <w:r>
        <w:rPr>
          <w:rFonts w:hint="eastAsia" w:ascii="宋体" w:hAnsi="宋体" w:cs="宋体"/>
          <w:szCs w:val="21"/>
        </w:rPr>
        <w:t>九、本协议书中有关词语定义与合同条款中的定义相同。</w:t>
      </w:r>
    </w:p>
    <w:p w14:paraId="780FEF07">
      <w:pPr>
        <w:tabs>
          <w:tab w:val="left" w:pos="3855"/>
        </w:tabs>
        <w:spacing w:line="360" w:lineRule="auto"/>
        <w:rPr>
          <w:rFonts w:ascii="宋体" w:hAnsi="宋体" w:cs="宋体"/>
          <w:szCs w:val="21"/>
        </w:rPr>
      </w:pPr>
      <w:r>
        <w:rPr>
          <w:rFonts w:hint="eastAsia" w:ascii="宋体" w:hAnsi="宋体" w:cs="宋体"/>
          <w:szCs w:val="21"/>
        </w:rPr>
        <w:t>十、承包人承诺按照合同约定进行施工、竣工、交付并承担质量缺陷保修责任。</w:t>
      </w:r>
    </w:p>
    <w:p w14:paraId="1651E8BD">
      <w:pPr>
        <w:tabs>
          <w:tab w:val="left" w:pos="3855"/>
        </w:tabs>
        <w:spacing w:line="360" w:lineRule="auto"/>
        <w:rPr>
          <w:rFonts w:ascii="宋体" w:hAnsi="宋体" w:cs="宋体"/>
          <w:szCs w:val="21"/>
        </w:rPr>
      </w:pPr>
      <w:r>
        <w:rPr>
          <w:rFonts w:hint="eastAsia" w:ascii="宋体" w:hAnsi="宋体" w:cs="宋体"/>
          <w:szCs w:val="21"/>
        </w:rPr>
        <w:t>十一、发包人承诺按照合同约定的条件、期限和方式向承包人支付合同价款。</w:t>
      </w:r>
    </w:p>
    <w:p w14:paraId="5F5A649D">
      <w:pPr>
        <w:tabs>
          <w:tab w:val="left" w:pos="3855"/>
        </w:tabs>
        <w:spacing w:line="360" w:lineRule="auto"/>
        <w:rPr>
          <w:rFonts w:ascii="宋体" w:hAnsi="宋体" w:cs="宋体"/>
          <w:szCs w:val="21"/>
          <w:u w:val="single"/>
        </w:rPr>
      </w:pPr>
      <w:r>
        <w:rPr>
          <w:rFonts w:hint="eastAsia" w:ascii="宋体" w:hAnsi="宋体" w:cs="宋体"/>
          <w:szCs w:val="21"/>
        </w:rPr>
        <w:t>十二、本协议书连同其他合同文件正本一式</w:t>
      </w:r>
      <w:r>
        <w:rPr>
          <w:rFonts w:hint="eastAsia" w:ascii="宋体" w:hAnsi="宋体" w:cs="宋体"/>
          <w:szCs w:val="21"/>
          <w:u w:val="single"/>
        </w:rPr>
        <w:t xml:space="preserve">   </w:t>
      </w:r>
      <w:r>
        <w:rPr>
          <w:rFonts w:hint="eastAsia" w:ascii="宋体" w:hAnsi="宋体" w:cs="宋体"/>
          <w:szCs w:val="21"/>
        </w:rPr>
        <w:t>份，合同双方各执一份；副本一式</w:t>
      </w:r>
      <w:r>
        <w:rPr>
          <w:rFonts w:hint="eastAsia" w:ascii="宋体" w:hAnsi="宋体" w:cs="宋体"/>
          <w:szCs w:val="21"/>
          <w:u w:val="single"/>
        </w:rPr>
        <w:t xml:space="preserve">     </w:t>
      </w:r>
      <w:r>
        <w:rPr>
          <w:rFonts w:hint="eastAsia" w:ascii="宋体" w:hAnsi="宋体" w:cs="宋体"/>
          <w:szCs w:val="21"/>
        </w:rPr>
        <w:t>份，双方各执</w:t>
      </w:r>
      <w:r>
        <w:rPr>
          <w:rFonts w:hint="eastAsia" w:ascii="宋体" w:hAnsi="宋体" w:cs="宋体"/>
          <w:szCs w:val="21"/>
          <w:u w:val="single"/>
        </w:rPr>
        <w:t xml:space="preserve">   </w:t>
      </w:r>
      <w:r>
        <w:rPr>
          <w:rFonts w:hint="eastAsia" w:ascii="宋体" w:hAnsi="宋体" w:cs="宋体"/>
          <w:szCs w:val="21"/>
        </w:rPr>
        <w:t>份。</w:t>
      </w:r>
    </w:p>
    <w:p w14:paraId="29D2BF97">
      <w:pPr>
        <w:tabs>
          <w:tab w:val="left" w:pos="3855"/>
        </w:tabs>
        <w:spacing w:line="360" w:lineRule="auto"/>
        <w:rPr>
          <w:rFonts w:ascii="宋体" w:hAnsi="宋体" w:cs="宋体"/>
          <w:szCs w:val="21"/>
        </w:rPr>
      </w:pPr>
      <w:r>
        <w:rPr>
          <w:rFonts w:hint="eastAsia" w:ascii="宋体" w:hAnsi="宋体" w:cs="宋体"/>
          <w:szCs w:val="21"/>
        </w:rPr>
        <w:t>十三、合同未尽事宜，双方另行签订补充协议，但不得背离本协议第八条所约定的合同文件的实质性内容。补充协议是合同文件的组成部分。</w:t>
      </w:r>
    </w:p>
    <w:p w14:paraId="150CD48E">
      <w:pPr>
        <w:tabs>
          <w:tab w:val="left" w:pos="3855"/>
        </w:tabs>
        <w:spacing w:line="360" w:lineRule="auto"/>
        <w:rPr>
          <w:rFonts w:ascii="宋体" w:hAnsi="宋体" w:cs="宋体"/>
          <w:szCs w:val="21"/>
        </w:rPr>
      </w:pPr>
      <w:r>
        <w:rPr>
          <w:rFonts w:hint="eastAsia" w:ascii="宋体" w:hAnsi="宋体" w:cs="宋体"/>
          <w:b/>
          <w:bCs/>
          <w:szCs w:val="21"/>
        </w:rPr>
        <w:t>发包人：</w:t>
      </w:r>
      <w:r>
        <w:rPr>
          <w:rFonts w:hint="eastAsia" w:ascii="宋体" w:hAnsi="宋体" w:cs="宋体"/>
          <w:szCs w:val="21"/>
        </w:rPr>
        <w:t xml:space="preserve">（盖单位章）                   </w:t>
      </w:r>
      <w:r>
        <w:rPr>
          <w:rFonts w:hint="eastAsia" w:ascii="宋体" w:hAnsi="宋体" w:cs="宋体"/>
          <w:b/>
          <w:bCs/>
          <w:szCs w:val="21"/>
        </w:rPr>
        <w:t>承包人：</w:t>
      </w:r>
      <w:r>
        <w:rPr>
          <w:rFonts w:hint="eastAsia" w:ascii="宋体" w:hAnsi="宋体" w:cs="宋体"/>
          <w:szCs w:val="21"/>
        </w:rPr>
        <w:t>（盖单位章）</w:t>
      </w:r>
    </w:p>
    <w:p w14:paraId="2843171E">
      <w:pPr>
        <w:tabs>
          <w:tab w:val="left" w:pos="3855"/>
        </w:tabs>
        <w:spacing w:line="360" w:lineRule="auto"/>
        <w:rPr>
          <w:rFonts w:ascii="宋体" w:hAnsi="宋体" w:cs="宋体"/>
          <w:szCs w:val="21"/>
        </w:rPr>
      </w:pPr>
      <w:r>
        <w:rPr>
          <w:rFonts w:hint="eastAsia" w:ascii="宋体" w:hAnsi="宋体" w:cs="宋体"/>
          <w:b/>
          <w:bCs/>
          <w:szCs w:val="21"/>
        </w:rPr>
        <w:t>法定代表人或其                         法定代表人或其</w:t>
      </w:r>
    </w:p>
    <w:p w14:paraId="30DA90F9">
      <w:pPr>
        <w:tabs>
          <w:tab w:val="left" w:pos="3855"/>
        </w:tabs>
        <w:spacing w:line="360" w:lineRule="auto"/>
        <w:rPr>
          <w:rFonts w:ascii="宋体" w:hAnsi="宋体" w:cs="宋体"/>
          <w:szCs w:val="21"/>
        </w:rPr>
      </w:pPr>
      <w:r>
        <w:rPr>
          <w:rFonts w:hint="eastAsia" w:ascii="宋体" w:hAnsi="宋体" w:cs="宋体"/>
          <w:b/>
          <w:bCs/>
          <w:szCs w:val="21"/>
        </w:rPr>
        <w:t>委托代理人：</w:t>
      </w:r>
      <w:r>
        <w:rPr>
          <w:rFonts w:hint="eastAsia" w:ascii="宋体" w:hAnsi="宋体" w:cs="宋体"/>
          <w:szCs w:val="21"/>
        </w:rPr>
        <w:t xml:space="preserve">（签字）                   </w:t>
      </w:r>
      <w:r>
        <w:rPr>
          <w:rFonts w:hint="eastAsia" w:ascii="宋体" w:hAnsi="宋体" w:cs="宋体"/>
          <w:b/>
          <w:bCs/>
          <w:szCs w:val="21"/>
        </w:rPr>
        <w:t>委托代理人：</w:t>
      </w:r>
      <w:r>
        <w:rPr>
          <w:rFonts w:hint="eastAsia" w:ascii="宋体" w:hAnsi="宋体" w:cs="宋体"/>
          <w:szCs w:val="21"/>
        </w:rPr>
        <w:t>（签字）</w:t>
      </w:r>
    </w:p>
    <w:p w14:paraId="4BF86757">
      <w:pPr>
        <w:tabs>
          <w:tab w:val="left" w:pos="3855"/>
        </w:tabs>
        <w:spacing w:line="360" w:lineRule="auto"/>
        <w:rPr>
          <w:rFonts w:ascii="宋体" w:hAnsi="宋体" w:cs="宋体"/>
          <w:szCs w:val="21"/>
        </w:rPr>
      </w:pPr>
      <w:r>
        <w:rPr>
          <w:rFonts w:hint="eastAsia" w:ascii="宋体" w:hAnsi="宋体" w:cs="宋体"/>
          <w:szCs w:val="21"/>
        </w:rPr>
        <w:t>年    月   日                           年     月    日</w:t>
      </w:r>
    </w:p>
    <w:p w14:paraId="13A14801">
      <w:pPr>
        <w:tabs>
          <w:tab w:val="left" w:pos="3855"/>
        </w:tabs>
        <w:spacing w:line="360" w:lineRule="auto"/>
        <w:rPr>
          <w:rFonts w:ascii="宋体" w:hAnsi="宋体" w:cs="宋体"/>
          <w:b/>
          <w:szCs w:val="21"/>
        </w:rPr>
      </w:pPr>
      <w:r>
        <w:rPr>
          <w:rFonts w:hint="eastAsia" w:ascii="宋体" w:hAnsi="宋体" w:cs="宋体"/>
          <w:b/>
          <w:szCs w:val="21"/>
        </w:rPr>
        <w:t>签约地点：</w:t>
      </w:r>
      <w:r>
        <w:rPr>
          <w:rFonts w:hint="eastAsia" w:ascii="宋体" w:hAnsi="宋体" w:cs="宋体"/>
          <w:bCs/>
          <w:szCs w:val="21"/>
          <w:u w:val="single"/>
        </w:rPr>
        <w:t xml:space="preserve"> </w:t>
      </w:r>
      <w:r>
        <w:rPr>
          <w:rFonts w:ascii="宋体" w:hAnsi="宋体" w:cs="宋体"/>
          <w:bCs/>
          <w:szCs w:val="21"/>
          <w:u w:val="single"/>
        </w:rPr>
        <w:t xml:space="preserve">                                              </w:t>
      </w:r>
    </w:p>
    <w:p w14:paraId="2D540836">
      <w:pPr>
        <w:pStyle w:val="66"/>
        <w:ind w:firstLine="480"/>
        <w:jc w:val="center"/>
        <w:outlineLvl w:val="0"/>
        <w:rPr>
          <w:rFonts w:ascii="宋体" w:hAnsi="宋体" w:cs="宋体"/>
        </w:rPr>
      </w:pPr>
      <w:r>
        <w:rPr>
          <w:rFonts w:hint="eastAsia" w:ascii="宋体" w:hAnsi="宋体" w:cs="宋体"/>
          <w:szCs w:val="21"/>
        </w:rPr>
        <w:br w:type="page"/>
      </w:r>
      <w:r>
        <w:rPr>
          <w:rFonts w:ascii="宋体" w:hAnsi="宋体" w:cs="宋体"/>
          <w:szCs w:val="21"/>
        </w:rPr>
        <w:t xml:space="preserve"> </w:t>
      </w:r>
      <w:r>
        <w:rPr>
          <w:rFonts w:hint="eastAsia" w:ascii="宋体" w:hAnsi="宋体" w:cs="宋体"/>
        </w:rPr>
        <w:t>通用合同条款</w:t>
      </w:r>
    </w:p>
    <w:p w14:paraId="0BCBBBCA">
      <w:pPr>
        <w:tabs>
          <w:tab w:val="left" w:pos="3855"/>
        </w:tabs>
        <w:spacing w:line="360" w:lineRule="auto"/>
        <w:outlineLvl w:val="0"/>
        <w:rPr>
          <w:rFonts w:ascii="宋体" w:hAnsi="宋体" w:cs="宋体"/>
          <w:szCs w:val="21"/>
        </w:rPr>
      </w:pPr>
      <w:bookmarkStart w:id="698" w:name="_Toc480486724"/>
      <w:bookmarkStart w:id="699" w:name="_Toc483668071"/>
      <w:bookmarkStart w:id="700" w:name="_Toc342296262"/>
      <w:bookmarkStart w:id="701" w:name="_Toc486580042"/>
      <w:bookmarkStart w:id="702" w:name="_Toc490222487"/>
      <w:bookmarkStart w:id="703" w:name="_Toc489279853"/>
      <w:bookmarkStart w:id="704" w:name="_Toc497456432"/>
      <w:bookmarkStart w:id="705" w:name="_Toc338944704"/>
      <w:bookmarkStart w:id="706" w:name="_Toc480486894"/>
      <w:r>
        <w:rPr>
          <w:rFonts w:hint="eastAsia" w:ascii="宋体" w:hAnsi="宋体" w:cs="宋体"/>
          <w:szCs w:val="21"/>
        </w:rPr>
        <w:t>1.一般约定</w:t>
      </w:r>
      <w:bookmarkEnd w:id="698"/>
      <w:bookmarkEnd w:id="699"/>
      <w:bookmarkEnd w:id="700"/>
      <w:bookmarkEnd w:id="701"/>
      <w:bookmarkEnd w:id="702"/>
      <w:bookmarkEnd w:id="703"/>
      <w:bookmarkEnd w:id="704"/>
      <w:bookmarkEnd w:id="705"/>
      <w:bookmarkEnd w:id="706"/>
    </w:p>
    <w:p w14:paraId="21EFE264">
      <w:pPr>
        <w:tabs>
          <w:tab w:val="left" w:pos="3855"/>
        </w:tabs>
        <w:spacing w:line="360" w:lineRule="auto"/>
        <w:outlineLvl w:val="1"/>
        <w:rPr>
          <w:rFonts w:ascii="宋体" w:hAnsi="宋体" w:cs="宋体"/>
          <w:szCs w:val="21"/>
        </w:rPr>
      </w:pPr>
      <w:bookmarkStart w:id="707" w:name="_Toc489279854"/>
      <w:bookmarkStart w:id="708" w:name="_Toc490222488"/>
      <w:bookmarkStart w:id="709" w:name="_Toc497456433"/>
      <w:bookmarkStart w:id="710" w:name="_Toc486580043"/>
      <w:bookmarkStart w:id="711" w:name="_Toc338944705"/>
      <w:bookmarkStart w:id="712" w:name="_Toc480486895"/>
      <w:bookmarkStart w:id="713" w:name="_Toc483668072"/>
      <w:bookmarkStart w:id="714" w:name="_Toc480486725"/>
      <w:bookmarkStart w:id="715" w:name="_Toc342296263"/>
      <w:r>
        <w:rPr>
          <w:rFonts w:hint="eastAsia" w:ascii="宋体" w:hAnsi="宋体" w:cs="宋体"/>
          <w:szCs w:val="21"/>
        </w:rPr>
        <w:t>1.1  词语定义</w:t>
      </w:r>
      <w:bookmarkEnd w:id="707"/>
      <w:bookmarkEnd w:id="708"/>
      <w:bookmarkEnd w:id="709"/>
      <w:bookmarkEnd w:id="710"/>
      <w:bookmarkEnd w:id="711"/>
      <w:bookmarkEnd w:id="712"/>
      <w:bookmarkEnd w:id="713"/>
      <w:bookmarkEnd w:id="714"/>
      <w:bookmarkEnd w:id="715"/>
    </w:p>
    <w:p w14:paraId="0ACCDE0A">
      <w:pPr>
        <w:tabs>
          <w:tab w:val="left" w:pos="3855"/>
        </w:tabs>
        <w:spacing w:line="360" w:lineRule="auto"/>
        <w:rPr>
          <w:rFonts w:ascii="宋体" w:hAnsi="宋体" w:cs="宋体"/>
          <w:szCs w:val="21"/>
        </w:rPr>
      </w:pPr>
      <w:r>
        <w:rPr>
          <w:rFonts w:hint="eastAsia" w:ascii="宋体" w:hAnsi="宋体" w:cs="宋体"/>
          <w:szCs w:val="21"/>
        </w:rPr>
        <w:t>合同条款通用部分、合同条款专用部分中的下列词语应具有本款所赋予的含义。</w:t>
      </w:r>
    </w:p>
    <w:p w14:paraId="706ED296">
      <w:pPr>
        <w:tabs>
          <w:tab w:val="left" w:pos="3855"/>
        </w:tabs>
        <w:spacing w:line="360" w:lineRule="auto"/>
        <w:outlineLvl w:val="2"/>
        <w:rPr>
          <w:rFonts w:ascii="宋体" w:hAnsi="宋体" w:cs="宋体"/>
          <w:szCs w:val="21"/>
        </w:rPr>
      </w:pPr>
      <w:bookmarkStart w:id="716" w:name="_Toc480486896"/>
      <w:r>
        <w:rPr>
          <w:rFonts w:hint="eastAsia" w:ascii="宋体" w:hAnsi="宋体" w:cs="宋体"/>
          <w:szCs w:val="21"/>
        </w:rPr>
        <w:t>1.1.1  合同</w:t>
      </w:r>
      <w:bookmarkEnd w:id="716"/>
    </w:p>
    <w:p w14:paraId="6691C418">
      <w:pPr>
        <w:tabs>
          <w:tab w:val="left" w:pos="3855"/>
        </w:tabs>
        <w:spacing w:line="360" w:lineRule="auto"/>
        <w:outlineLvl w:val="3"/>
        <w:rPr>
          <w:rFonts w:ascii="宋体" w:hAnsi="宋体" w:cs="宋体"/>
          <w:szCs w:val="21"/>
        </w:rPr>
      </w:pPr>
      <w:r>
        <w:rPr>
          <w:rFonts w:hint="eastAsia" w:ascii="宋体" w:hAnsi="宋体" w:cs="宋体"/>
          <w:szCs w:val="21"/>
        </w:rPr>
        <w:t>1.1.1.1  合同文件（或称合同）：指合同协议书、中标通知书、投标函及投标函附录、合同条款专用部分、合同条款通用部分、技术标准和要求、图纸、已标价工程量清单，以及其他合同文件。</w:t>
      </w:r>
    </w:p>
    <w:p w14:paraId="011CB373">
      <w:pPr>
        <w:tabs>
          <w:tab w:val="left" w:pos="3855"/>
        </w:tabs>
        <w:spacing w:line="360" w:lineRule="auto"/>
        <w:outlineLvl w:val="3"/>
        <w:rPr>
          <w:rFonts w:ascii="宋体" w:hAnsi="宋体" w:cs="宋体"/>
          <w:szCs w:val="21"/>
        </w:rPr>
      </w:pPr>
      <w:r>
        <w:rPr>
          <w:rFonts w:hint="eastAsia" w:ascii="宋体" w:hAnsi="宋体" w:cs="宋体"/>
          <w:szCs w:val="21"/>
        </w:rPr>
        <w:t>1.1.1.2  合同协议书：指第1.5款所指的合同协议书。</w:t>
      </w:r>
    </w:p>
    <w:p w14:paraId="451CF761">
      <w:pPr>
        <w:tabs>
          <w:tab w:val="left" w:pos="3855"/>
        </w:tabs>
        <w:spacing w:line="360" w:lineRule="auto"/>
        <w:outlineLvl w:val="3"/>
        <w:rPr>
          <w:rFonts w:ascii="宋体" w:hAnsi="宋体" w:cs="宋体"/>
          <w:szCs w:val="21"/>
        </w:rPr>
      </w:pPr>
      <w:r>
        <w:rPr>
          <w:rFonts w:hint="eastAsia" w:ascii="宋体" w:hAnsi="宋体" w:cs="宋体"/>
          <w:szCs w:val="21"/>
        </w:rPr>
        <w:t>1.1.1.3  中标通知书：指发包人通知承包人中标的函件。</w:t>
      </w:r>
    </w:p>
    <w:p w14:paraId="034B0B5A">
      <w:pPr>
        <w:tabs>
          <w:tab w:val="left" w:pos="3855"/>
        </w:tabs>
        <w:spacing w:line="360" w:lineRule="auto"/>
        <w:outlineLvl w:val="3"/>
        <w:rPr>
          <w:rFonts w:ascii="宋体" w:hAnsi="宋体" w:cs="宋体"/>
          <w:szCs w:val="21"/>
        </w:rPr>
      </w:pPr>
      <w:r>
        <w:rPr>
          <w:rFonts w:hint="eastAsia" w:ascii="宋体" w:hAnsi="宋体" w:cs="宋体"/>
          <w:szCs w:val="21"/>
        </w:rPr>
        <w:t>1.1.1.4  投标函：指构成合同文件组成部分的由承包人填写并签署的投标函。</w:t>
      </w:r>
    </w:p>
    <w:p w14:paraId="70FF22BB">
      <w:pPr>
        <w:tabs>
          <w:tab w:val="left" w:pos="3855"/>
        </w:tabs>
        <w:spacing w:line="360" w:lineRule="auto"/>
        <w:outlineLvl w:val="3"/>
        <w:rPr>
          <w:rFonts w:ascii="宋体" w:hAnsi="宋体" w:cs="宋体"/>
          <w:szCs w:val="21"/>
        </w:rPr>
      </w:pPr>
      <w:r>
        <w:rPr>
          <w:rFonts w:hint="eastAsia" w:ascii="宋体" w:hAnsi="宋体" w:cs="宋体"/>
          <w:szCs w:val="21"/>
        </w:rPr>
        <w:t>1.1.1.5  投标函附录：指附在投标函后构成合同文件的投标函附录。</w:t>
      </w:r>
    </w:p>
    <w:p w14:paraId="06E45221">
      <w:pPr>
        <w:tabs>
          <w:tab w:val="left" w:pos="3855"/>
        </w:tabs>
        <w:spacing w:line="360" w:lineRule="auto"/>
        <w:outlineLvl w:val="3"/>
        <w:rPr>
          <w:rFonts w:ascii="宋体" w:hAnsi="宋体" w:cs="宋体"/>
          <w:szCs w:val="21"/>
        </w:rPr>
      </w:pPr>
      <w:r>
        <w:rPr>
          <w:rFonts w:hint="eastAsia" w:ascii="宋体" w:hAnsi="宋体" w:cs="宋体"/>
          <w:szCs w:val="21"/>
        </w:rPr>
        <w:t>1.1.1.6  合同条款：指构成合同文件组成部分的合同条款通用部分和（或）合同条款专用部分。</w:t>
      </w:r>
    </w:p>
    <w:p w14:paraId="002F7FA7">
      <w:pPr>
        <w:tabs>
          <w:tab w:val="left" w:pos="3855"/>
        </w:tabs>
        <w:spacing w:line="360" w:lineRule="auto"/>
        <w:outlineLvl w:val="3"/>
        <w:rPr>
          <w:rFonts w:ascii="宋体" w:hAnsi="宋体" w:cs="宋体"/>
          <w:szCs w:val="21"/>
        </w:rPr>
      </w:pPr>
      <w:r>
        <w:rPr>
          <w:rFonts w:hint="eastAsia" w:ascii="宋体" w:hAnsi="宋体" w:cs="宋体"/>
          <w:szCs w:val="21"/>
        </w:rPr>
        <w:t>1.1.1.7  技术标准和要求：指构成合同文件组成部分的名为技术标准和要求的文件，包括合同双方当事人约定对其所作的修改或补充。</w:t>
      </w:r>
    </w:p>
    <w:p w14:paraId="3940DDF8">
      <w:pPr>
        <w:tabs>
          <w:tab w:val="left" w:pos="3855"/>
        </w:tabs>
        <w:spacing w:line="360" w:lineRule="auto"/>
        <w:outlineLvl w:val="3"/>
        <w:rPr>
          <w:rFonts w:ascii="宋体" w:hAnsi="宋体" w:cs="宋体"/>
          <w:szCs w:val="21"/>
        </w:rPr>
      </w:pPr>
      <w:r>
        <w:rPr>
          <w:rFonts w:hint="eastAsia" w:ascii="宋体" w:hAnsi="宋体" w:cs="宋体"/>
          <w:szCs w:val="21"/>
        </w:rPr>
        <w:t>1.1.1.8  图纸：指包含在合同中的工程图纸，以及由发包人按合同约定提供的任何补充和修改的图纸，包括配套的说明。</w:t>
      </w:r>
    </w:p>
    <w:p w14:paraId="089044B2">
      <w:pPr>
        <w:tabs>
          <w:tab w:val="left" w:pos="3855"/>
        </w:tabs>
        <w:spacing w:line="360" w:lineRule="auto"/>
        <w:outlineLvl w:val="3"/>
        <w:rPr>
          <w:rFonts w:ascii="宋体" w:hAnsi="宋体" w:cs="宋体"/>
          <w:szCs w:val="21"/>
        </w:rPr>
      </w:pPr>
      <w:r>
        <w:rPr>
          <w:rFonts w:hint="eastAsia" w:ascii="宋体" w:hAnsi="宋体" w:cs="宋体"/>
          <w:szCs w:val="21"/>
        </w:rPr>
        <w:t>1.1.1.9  已标价工程量清单：指构成合同文件组成部分的由承包人按照规定的格式和要求填写并标明价格的工程量清单。</w:t>
      </w:r>
    </w:p>
    <w:p w14:paraId="21A81B1C">
      <w:pPr>
        <w:tabs>
          <w:tab w:val="left" w:pos="3855"/>
        </w:tabs>
        <w:spacing w:line="360" w:lineRule="auto"/>
        <w:outlineLvl w:val="3"/>
        <w:rPr>
          <w:rFonts w:ascii="宋体" w:hAnsi="宋体" w:cs="宋体"/>
          <w:szCs w:val="21"/>
        </w:rPr>
      </w:pPr>
      <w:r>
        <w:rPr>
          <w:rFonts w:hint="eastAsia" w:ascii="宋体" w:hAnsi="宋体" w:cs="宋体"/>
          <w:szCs w:val="21"/>
        </w:rPr>
        <w:t>1.1.1.10  其他合同文件：指经合同双方当事人确认构成合同文件的其他文件。</w:t>
      </w:r>
    </w:p>
    <w:p w14:paraId="4924CEB9">
      <w:pPr>
        <w:tabs>
          <w:tab w:val="left" w:pos="3855"/>
        </w:tabs>
        <w:spacing w:line="360" w:lineRule="auto"/>
        <w:outlineLvl w:val="2"/>
        <w:rPr>
          <w:rFonts w:ascii="宋体" w:hAnsi="宋体" w:cs="宋体"/>
          <w:szCs w:val="21"/>
        </w:rPr>
      </w:pPr>
      <w:bookmarkStart w:id="717" w:name="_Toc480486897"/>
      <w:r>
        <w:rPr>
          <w:rFonts w:hint="eastAsia" w:ascii="宋体" w:hAnsi="宋体" w:cs="宋体"/>
          <w:szCs w:val="21"/>
        </w:rPr>
        <w:t>1.1.2  合同当事人和人员</w:t>
      </w:r>
      <w:bookmarkEnd w:id="717"/>
    </w:p>
    <w:p w14:paraId="241B68F9">
      <w:pPr>
        <w:tabs>
          <w:tab w:val="left" w:pos="3855"/>
        </w:tabs>
        <w:spacing w:line="360" w:lineRule="auto"/>
        <w:outlineLvl w:val="3"/>
        <w:rPr>
          <w:rFonts w:ascii="宋体" w:hAnsi="宋体" w:cs="宋体"/>
          <w:szCs w:val="21"/>
        </w:rPr>
      </w:pPr>
      <w:r>
        <w:rPr>
          <w:rFonts w:hint="eastAsia" w:ascii="宋体" w:hAnsi="宋体" w:cs="宋体"/>
          <w:szCs w:val="21"/>
        </w:rPr>
        <w:t>1.1.2.1  合同当事人：指发包人和（或）承包人。</w:t>
      </w:r>
    </w:p>
    <w:p w14:paraId="4A96E329">
      <w:pPr>
        <w:tabs>
          <w:tab w:val="left" w:pos="3855"/>
        </w:tabs>
        <w:spacing w:line="360" w:lineRule="auto"/>
        <w:outlineLvl w:val="3"/>
        <w:rPr>
          <w:rFonts w:ascii="宋体" w:hAnsi="宋体" w:cs="宋体"/>
          <w:szCs w:val="21"/>
        </w:rPr>
      </w:pPr>
      <w:r>
        <w:rPr>
          <w:rFonts w:hint="eastAsia" w:ascii="宋体" w:hAnsi="宋体" w:cs="宋体"/>
          <w:szCs w:val="21"/>
        </w:rPr>
        <w:t>1.1.2.2  发包人：指合同协议书中约定，具有工程发包主体资格和承诺按照合同约定的条件、期限和方式向承包人支付工程价款的当事人，以及取得该当事人资格的合法继承人。发包人名称见合同条款专用部分。</w:t>
      </w:r>
    </w:p>
    <w:p w14:paraId="19957968">
      <w:pPr>
        <w:tabs>
          <w:tab w:val="left" w:pos="3855"/>
        </w:tabs>
        <w:spacing w:line="360" w:lineRule="auto"/>
        <w:outlineLvl w:val="3"/>
        <w:rPr>
          <w:rFonts w:ascii="宋体" w:hAnsi="宋体" w:cs="宋体"/>
          <w:szCs w:val="21"/>
        </w:rPr>
      </w:pPr>
      <w:r>
        <w:rPr>
          <w:rFonts w:hint="eastAsia" w:ascii="宋体" w:hAnsi="宋体" w:cs="宋体"/>
          <w:szCs w:val="21"/>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p w14:paraId="165F58A2">
      <w:pPr>
        <w:tabs>
          <w:tab w:val="left" w:pos="3855"/>
        </w:tabs>
        <w:spacing w:line="360" w:lineRule="auto"/>
        <w:outlineLvl w:val="3"/>
        <w:rPr>
          <w:rFonts w:ascii="宋体" w:hAnsi="宋体" w:cs="宋体"/>
          <w:szCs w:val="21"/>
        </w:rPr>
      </w:pPr>
      <w:r>
        <w:rPr>
          <w:rFonts w:hint="eastAsia" w:ascii="宋体" w:hAnsi="宋体" w:cs="宋体"/>
          <w:szCs w:val="21"/>
        </w:rPr>
        <w:t>1.1.2.4  承包人项目经理：指承包人派驻施工场地的全权负责人。</w:t>
      </w:r>
    </w:p>
    <w:p w14:paraId="62D80E20">
      <w:pPr>
        <w:tabs>
          <w:tab w:val="left" w:pos="3855"/>
        </w:tabs>
        <w:spacing w:line="360" w:lineRule="auto"/>
        <w:outlineLvl w:val="3"/>
        <w:rPr>
          <w:rFonts w:ascii="宋体" w:hAnsi="宋体" w:cs="宋体"/>
          <w:szCs w:val="21"/>
        </w:rPr>
      </w:pPr>
      <w:r>
        <w:rPr>
          <w:rFonts w:hint="eastAsia" w:ascii="宋体" w:hAnsi="宋体" w:cs="宋体"/>
          <w:szCs w:val="21"/>
        </w:rPr>
        <w:t>1.1.2.5  分包人：指从承包人处分包合同中某一部分工程，并与其签订分包合同的分包人。</w:t>
      </w:r>
    </w:p>
    <w:p w14:paraId="15A2C236">
      <w:pPr>
        <w:tabs>
          <w:tab w:val="left" w:pos="3855"/>
        </w:tabs>
        <w:spacing w:line="360" w:lineRule="auto"/>
        <w:outlineLvl w:val="3"/>
        <w:rPr>
          <w:rFonts w:ascii="宋体" w:hAnsi="宋体" w:cs="宋体"/>
          <w:szCs w:val="21"/>
        </w:rPr>
      </w:pPr>
      <w:r>
        <w:rPr>
          <w:rFonts w:hint="eastAsia" w:ascii="宋体" w:hAnsi="宋体" w:cs="宋体"/>
          <w:szCs w:val="21"/>
        </w:rPr>
        <w:t>1.1.2.6  监理人：指发包人委托的对合同履行实施管理的法人或其他组织。监理人名称见合同条款专用部分。</w:t>
      </w:r>
    </w:p>
    <w:p w14:paraId="20014A44">
      <w:pPr>
        <w:tabs>
          <w:tab w:val="left" w:pos="3855"/>
        </w:tabs>
        <w:spacing w:line="360" w:lineRule="auto"/>
        <w:outlineLvl w:val="3"/>
        <w:rPr>
          <w:rFonts w:ascii="宋体" w:hAnsi="宋体" w:cs="宋体"/>
          <w:szCs w:val="21"/>
        </w:rPr>
      </w:pPr>
      <w:r>
        <w:rPr>
          <w:rFonts w:hint="eastAsia" w:ascii="宋体" w:hAnsi="宋体" w:cs="宋体"/>
          <w:szCs w:val="21"/>
        </w:rPr>
        <w:t>1.1.2.7  总监理工程师（总监）：指由监理人委派常驻施工场地对合同履行实施管理的全权负责人。</w:t>
      </w:r>
    </w:p>
    <w:p w14:paraId="6C8AD277">
      <w:pPr>
        <w:tabs>
          <w:tab w:val="left" w:pos="3855"/>
        </w:tabs>
        <w:spacing w:line="360" w:lineRule="auto"/>
        <w:outlineLvl w:val="3"/>
        <w:rPr>
          <w:rFonts w:ascii="宋体" w:hAnsi="宋体" w:cs="宋体"/>
          <w:szCs w:val="21"/>
        </w:rPr>
      </w:pPr>
      <w:r>
        <w:rPr>
          <w:rFonts w:hint="eastAsia" w:ascii="宋体" w:hAnsi="宋体" w:cs="宋体"/>
          <w:szCs w:val="21"/>
        </w:rPr>
        <w:t>1.1.2.8  发包人代表：指由发包人指定的派驻施工场地（现场）的全权代表。发包人代表相关信息见合同条款专用部分。</w:t>
      </w:r>
    </w:p>
    <w:p w14:paraId="24B90F2D">
      <w:pPr>
        <w:tabs>
          <w:tab w:val="left" w:pos="3855"/>
        </w:tabs>
        <w:spacing w:line="360" w:lineRule="auto"/>
        <w:outlineLvl w:val="3"/>
        <w:rPr>
          <w:rFonts w:ascii="宋体" w:hAnsi="宋体" w:cs="宋体"/>
          <w:szCs w:val="21"/>
        </w:rPr>
      </w:pPr>
      <w:r>
        <w:rPr>
          <w:rFonts w:hint="eastAsia" w:ascii="宋体" w:hAnsi="宋体" w:cs="宋体"/>
          <w:szCs w:val="21"/>
        </w:rPr>
        <w:t>1.1.2.9  专业分包人：指根据合同条款第15.8.1项的约定，由发包人和承包人以招标方式选择的分包人。</w:t>
      </w:r>
    </w:p>
    <w:p w14:paraId="6A87F335">
      <w:pPr>
        <w:tabs>
          <w:tab w:val="left" w:pos="3855"/>
        </w:tabs>
        <w:spacing w:line="360" w:lineRule="auto"/>
        <w:outlineLvl w:val="3"/>
        <w:rPr>
          <w:rFonts w:ascii="宋体" w:hAnsi="宋体" w:cs="宋体"/>
          <w:szCs w:val="21"/>
        </w:rPr>
      </w:pPr>
      <w:r>
        <w:rPr>
          <w:rFonts w:hint="eastAsia" w:ascii="宋体" w:hAnsi="宋体" w:cs="宋体"/>
          <w:szCs w:val="21"/>
        </w:rPr>
        <w:t>1.1.2.10  专项供应商：指根据合同条款第15.8.1项的约定，由发包人和承包人以招标方式选择的供应商。</w:t>
      </w:r>
    </w:p>
    <w:p w14:paraId="7C8A2B7E">
      <w:pPr>
        <w:tabs>
          <w:tab w:val="left" w:pos="3855"/>
        </w:tabs>
        <w:spacing w:line="360" w:lineRule="auto"/>
        <w:outlineLvl w:val="3"/>
        <w:rPr>
          <w:rFonts w:ascii="宋体" w:hAnsi="宋体" w:cs="宋体"/>
          <w:szCs w:val="21"/>
        </w:rPr>
      </w:pPr>
      <w:r>
        <w:rPr>
          <w:rFonts w:hint="eastAsia" w:ascii="宋体" w:hAnsi="宋体" w:cs="宋体"/>
          <w:szCs w:val="21"/>
        </w:rPr>
        <w:t>1.1.2.11  独立承包人：指与发包人直接订立工程承包合同，负责实施与工程有关的其他工作的当事人。</w:t>
      </w:r>
    </w:p>
    <w:p w14:paraId="5BB3688C">
      <w:pPr>
        <w:tabs>
          <w:tab w:val="left" w:pos="3855"/>
        </w:tabs>
        <w:spacing w:line="360" w:lineRule="auto"/>
        <w:outlineLvl w:val="2"/>
        <w:rPr>
          <w:rFonts w:ascii="宋体" w:hAnsi="宋体" w:cs="宋体"/>
          <w:szCs w:val="21"/>
        </w:rPr>
      </w:pPr>
      <w:r>
        <w:rPr>
          <w:rFonts w:hint="eastAsia" w:ascii="宋体" w:hAnsi="宋体" w:cs="宋体"/>
          <w:szCs w:val="21"/>
        </w:rPr>
        <w:t>1.1.3  工程和设备</w:t>
      </w:r>
    </w:p>
    <w:p w14:paraId="0CBEB2BB">
      <w:pPr>
        <w:tabs>
          <w:tab w:val="left" w:pos="3855"/>
        </w:tabs>
        <w:spacing w:line="360" w:lineRule="auto"/>
        <w:outlineLvl w:val="3"/>
        <w:rPr>
          <w:rFonts w:ascii="宋体" w:hAnsi="宋体" w:cs="宋体"/>
          <w:szCs w:val="21"/>
        </w:rPr>
      </w:pPr>
      <w:r>
        <w:rPr>
          <w:rFonts w:hint="eastAsia" w:ascii="宋体" w:hAnsi="宋体" w:cs="宋体"/>
          <w:szCs w:val="21"/>
        </w:rPr>
        <w:t>1.1.3.1  工程：指永久工程和（或）临时工程。</w:t>
      </w:r>
    </w:p>
    <w:p w14:paraId="0ADB6AAE">
      <w:pPr>
        <w:tabs>
          <w:tab w:val="left" w:pos="3855"/>
        </w:tabs>
        <w:spacing w:line="360" w:lineRule="auto"/>
        <w:outlineLvl w:val="3"/>
        <w:rPr>
          <w:rFonts w:ascii="宋体" w:hAnsi="宋体" w:cs="宋体"/>
          <w:szCs w:val="21"/>
        </w:rPr>
      </w:pPr>
      <w:r>
        <w:rPr>
          <w:rFonts w:hint="eastAsia" w:ascii="宋体" w:hAnsi="宋体" w:cs="宋体"/>
          <w:szCs w:val="21"/>
        </w:rPr>
        <w:t>1.1.3.2  永久工程：指按照合同约定所需建造、完成并移交给发包人的工程，包括工程设备。永久工程的约定见合同条款专用部分。</w:t>
      </w:r>
    </w:p>
    <w:p w14:paraId="1E985846">
      <w:pPr>
        <w:tabs>
          <w:tab w:val="left" w:pos="3855"/>
        </w:tabs>
        <w:spacing w:line="360" w:lineRule="auto"/>
        <w:outlineLvl w:val="3"/>
        <w:rPr>
          <w:rFonts w:ascii="宋体" w:hAnsi="宋体" w:cs="宋体"/>
          <w:szCs w:val="21"/>
        </w:rPr>
      </w:pPr>
      <w:r>
        <w:rPr>
          <w:rFonts w:hint="eastAsia" w:ascii="宋体" w:hAnsi="宋体" w:cs="宋体"/>
          <w:szCs w:val="21"/>
        </w:rPr>
        <w:t>1.1.3.3  临时工程：指为完成合同约定的永久工程所修建的各类临时性工程，不包括施工设备。临时工程的约定见合同条款专用部分。</w:t>
      </w:r>
    </w:p>
    <w:p w14:paraId="557F3EB5">
      <w:pPr>
        <w:tabs>
          <w:tab w:val="left" w:pos="3855"/>
        </w:tabs>
        <w:spacing w:line="360" w:lineRule="auto"/>
        <w:outlineLvl w:val="3"/>
        <w:rPr>
          <w:rFonts w:ascii="宋体" w:hAnsi="宋体" w:cs="宋体"/>
          <w:szCs w:val="21"/>
        </w:rPr>
      </w:pPr>
      <w:r>
        <w:rPr>
          <w:rFonts w:hint="eastAsia" w:ascii="宋体" w:hAnsi="宋体" w:cs="宋体"/>
          <w:szCs w:val="21"/>
        </w:rPr>
        <w:t>1.1.3.4  单位工程：指具有相对独立的设计文件，能够独立组织施工并能形成独立使用功能的永久工程的组成部分。</w:t>
      </w:r>
    </w:p>
    <w:p w14:paraId="0D959853">
      <w:pPr>
        <w:tabs>
          <w:tab w:val="left" w:pos="3855"/>
        </w:tabs>
        <w:spacing w:line="360" w:lineRule="auto"/>
        <w:outlineLvl w:val="3"/>
        <w:rPr>
          <w:rFonts w:ascii="宋体" w:hAnsi="宋体" w:cs="宋体"/>
          <w:szCs w:val="21"/>
        </w:rPr>
      </w:pPr>
      <w:r>
        <w:rPr>
          <w:rFonts w:hint="eastAsia" w:ascii="宋体" w:hAnsi="宋体" w:cs="宋体"/>
          <w:szCs w:val="21"/>
        </w:rPr>
        <w:t>1.1.3.5  工程设备：指构成或计划构成永久工程一部分的机电设备、金属结构设备、仪器装置及其他类似的设备和装置。</w:t>
      </w:r>
    </w:p>
    <w:p w14:paraId="3F015137">
      <w:pPr>
        <w:tabs>
          <w:tab w:val="left" w:pos="3855"/>
        </w:tabs>
        <w:spacing w:line="360" w:lineRule="auto"/>
        <w:outlineLvl w:val="3"/>
        <w:rPr>
          <w:rFonts w:ascii="宋体" w:hAnsi="宋体" w:cs="宋体"/>
          <w:szCs w:val="21"/>
        </w:rPr>
      </w:pPr>
      <w:r>
        <w:rPr>
          <w:rFonts w:hint="eastAsia" w:ascii="宋体" w:hAnsi="宋体" w:cs="宋体"/>
          <w:szCs w:val="21"/>
        </w:rPr>
        <w:t>1.1.3.6  施工设备：指为完成合同约定的各项工作所需的设备、器具和其他物品，不包括临时工程和材料。</w:t>
      </w:r>
    </w:p>
    <w:p w14:paraId="30957323">
      <w:pPr>
        <w:tabs>
          <w:tab w:val="left" w:pos="3855"/>
        </w:tabs>
        <w:spacing w:line="360" w:lineRule="auto"/>
        <w:outlineLvl w:val="3"/>
        <w:rPr>
          <w:rFonts w:ascii="宋体" w:hAnsi="宋体" w:cs="宋体"/>
          <w:szCs w:val="21"/>
        </w:rPr>
      </w:pPr>
      <w:r>
        <w:rPr>
          <w:rFonts w:hint="eastAsia" w:ascii="宋体" w:hAnsi="宋体" w:cs="宋体"/>
          <w:szCs w:val="21"/>
        </w:rPr>
        <w:t>1.1.3.7  临时设施：指为完成合同约定的各项工作所服务的临时性生产和生活设施。</w:t>
      </w:r>
    </w:p>
    <w:p w14:paraId="706EDC7B">
      <w:pPr>
        <w:tabs>
          <w:tab w:val="left" w:pos="3855"/>
        </w:tabs>
        <w:spacing w:line="360" w:lineRule="auto"/>
        <w:outlineLvl w:val="3"/>
        <w:rPr>
          <w:rFonts w:ascii="宋体" w:hAnsi="宋体" w:cs="宋体"/>
          <w:szCs w:val="21"/>
        </w:rPr>
      </w:pPr>
      <w:r>
        <w:rPr>
          <w:rFonts w:hint="eastAsia" w:ascii="宋体" w:hAnsi="宋体" w:cs="宋体"/>
          <w:szCs w:val="21"/>
        </w:rPr>
        <w:t>1.1.3.8  承包人设备：指承包人自带的施工设备。</w:t>
      </w:r>
    </w:p>
    <w:p w14:paraId="680D418F">
      <w:pPr>
        <w:tabs>
          <w:tab w:val="left" w:pos="3855"/>
        </w:tabs>
        <w:spacing w:line="360" w:lineRule="auto"/>
        <w:outlineLvl w:val="3"/>
        <w:rPr>
          <w:rFonts w:ascii="宋体" w:hAnsi="宋体" w:cs="宋体"/>
          <w:szCs w:val="21"/>
        </w:rPr>
      </w:pPr>
      <w:r>
        <w:rPr>
          <w:rFonts w:hint="eastAsia" w:ascii="宋体" w:hAnsi="宋体" w:cs="宋体"/>
          <w:szCs w:val="21"/>
        </w:rPr>
        <w:t>1.1.3.9  施工场地（或称工地、现场）：指用于合同工程施工的场所，以及在合同中指定作为施工场地组成部分的其他场所，包括永久占地和临时占地。</w:t>
      </w:r>
    </w:p>
    <w:p w14:paraId="5F98F3EC">
      <w:pPr>
        <w:tabs>
          <w:tab w:val="left" w:pos="3855"/>
        </w:tabs>
        <w:spacing w:line="360" w:lineRule="auto"/>
        <w:outlineLvl w:val="3"/>
        <w:rPr>
          <w:rFonts w:ascii="宋体" w:hAnsi="宋体" w:cs="宋体"/>
          <w:szCs w:val="21"/>
        </w:rPr>
      </w:pPr>
      <w:r>
        <w:rPr>
          <w:rFonts w:hint="eastAsia" w:ascii="宋体" w:hAnsi="宋体" w:cs="宋体"/>
          <w:szCs w:val="21"/>
        </w:rPr>
        <w:t>1.1.3.10  永久占地：指为实施合同工程需永久占用的土地。永久占地的约定见合同条款专用部分。</w:t>
      </w:r>
    </w:p>
    <w:p w14:paraId="09D290EF">
      <w:pPr>
        <w:tabs>
          <w:tab w:val="left" w:pos="3855"/>
        </w:tabs>
        <w:spacing w:line="360" w:lineRule="auto"/>
        <w:outlineLvl w:val="3"/>
        <w:rPr>
          <w:rFonts w:ascii="宋体" w:hAnsi="宋体" w:cs="宋体"/>
          <w:szCs w:val="21"/>
        </w:rPr>
      </w:pPr>
      <w:r>
        <w:rPr>
          <w:rFonts w:hint="eastAsia" w:ascii="宋体" w:hAnsi="宋体" w:cs="宋体"/>
          <w:szCs w:val="21"/>
        </w:rPr>
        <w:t>1.1.3.11  临时占地：指为实施合同工程需临时占用的土地。临时占地的约定见合同条款专用部分。</w:t>
      </w:r>
    </w:p>
    <w:p w14:paraId="6E0EDF63">
      <w:pPr>
        <w:tabs>
          <w:tab w:val="left" w:pos="3855"/>
        </w:tabs>
        <w:spacing w:line="360" w:lineRule="auto"/>
        <w:outlineLvl w:val="3"/>
        <w:rPr>
          <w:rFonts w:ascii="宋体" w:hAnsi="宋体" w:cs="宋体"/>
          <w:szCs w:val="21"/>
        </w:rPr>
      </w:pPr>
      <w:r>
        <w:rPr>
          <w:rFonts w:hint="eastAsia" w:ascii="宋体" w:hAnsi="宋体" w:cs="宋体"/>
          <w:szCs w:val="21"/>
        </w:rPr>
        <w:t>1.1.3.12  材料：指构成或将构成永久工程组成部分的各类物品(工程设备除外)，包括合同中可能约定的承包人仅负责供应的材料。</w:t>
      </w:r>
    </w:p>
    <w:p w14:paraId="4B9CCC81">
      <w:pPr>
        <w:tabs>
          <w:tab w:val="left" w:pos="3855"/>
        </w:tabs>
        <w:spacing w:line="360" w:lineRule="auto"/>
        <w:outlineLvl w:val="2"/>
        <w:rPr>
          <w:rFonts w:ascii="宋体" w:hAnsi="宋体" w:cs="宋体"/>
          <w:szCs w:val="21"/>
        </w:rPr>
      </w:pPr>
      <w:r>
        <w:rPr>
          <w:rFonts w:hint="eastAsia" w:ascii="宋体" w:hAnsi="宋体" w:cs="宋体"/>
          <w:szCs w:val="21"/>
        </w:rPr>
        <w:t>1.1.4  日期</w:t>
      </w:r>
    </w:p>
    <w:p w14:paraId="595E4E4C">
      <w:pPr>
        <w:tabs>
          <w:tab w:val="left" w:pos="3855"/>
        </w:tabs>
        <w:spacing w:line="360" w:lineRule="auto"/>
        <w:outlineLvl w:val="3"/>
        <w:rPr>
          <w:rFonts w:ascii="宋体" w:hAnsi="宋体" w:cs="宋体"/>
          <w:szCs w:val="21"/>
        </w:rPr>
      </w:pPr>
      <w:r>
        <w:rPr>
          <w:rFonts w:hint="eastAsia" w:ascii="宋体" w:hAnsi="宋体" w:cs="宋体"/>
          <w:szCs w:val="21"/>
        </w:rPr>
        <w:t>1.1.4.1  开工通知：指监理人按第11.1款通知承包人开工的函件。</w:t>
      </w:r>
    </w:p>
    <w:p w14:paraId="11EEA6DC">
      <w:pPr>
        <w:tabs>
          <w:tab w:val="left" w:pos="3855"/>
        </w:tabs>
        <w:spacing w:line="360" w:lineRule="auto"/>
        <w:outlineLvl w:val="3"/>
        <w:rPr>
          <w:rFonts w:ascii="宋体" w:hAnsi="宋体" w:cs="宋体"/>
          <w:szCs w:val="21"/>
        </w:rPr>
      </w:pPr>
      <w:r>
        <w:rPr>
          <w:rFonts w:hint="eastAsia" w:ascii="宋体" w:hAnsi="宋体" w:cs="宋体"/>
          <w:szCs w:val="21"/>
        </w:rPr>
        <w:t>1.1.4.2  开工日期：指监理人按第11.1款发出的开工通知中写明的开工日期或承包人实际进场施工的日期，以实际先开始者为准。</w:t>
      </w:r>
    </w:p>
    <w:p w14:paraId="0B83F2F5">
      <w:pPr>
        <w:tabs>
          <w:tab w:val="left" w:pos="3855"/>
        </w:tabs>
        <w:spacing w:line="360" w:lineRule="auto"/>
        <w:outlineLvl w:val="3"/>
        <w:rPr>
          <w:rFonts w:ascii="宋体" w:hAnsi="宋体" w:cs="宋体"/>
          <w:szCs w:val="21"/>
        </w:rPr>
      </w:pPr>
      <w:r>
        <w:rPr>
          <w:rFonts w:hint="eastAsia" w:ascii="宋体" w:hAnsi="宋体" w:cs="宋体"/>
          <w:szCs w:val="21"/>
        </w:rPr>
        <w:t>1.1.4.3  工期：指承包人在投标函中承诺及合同协议书中约定的完成合同工程所需的期限，包括按第11.3款、第11.4款和第11.6款约定所作的变更。</w:t>
      </w:r>
    </w:p>
    <w:p w14:paraId="600C5AD9">
      <w:pPr>
        <w:tabs>
          <w:tab w:val="left" w:pos="3855"/>
        </w:tabs>
        <w:spacing w:line="360" w:lineRule="auto"/>
        <w:outlineLvl w:val="3"/>
        <w:rPr>
          <w:rFonts w:ascii="宋体" w:hAnsi="宋体" w:cs="宋体"/>
          <w:szCs w:val="21"/>
        </w:rPr>
      </w:pPr>
      <w:r>
        <w:rPr>
          <w:rFonts w:hint="eastAsia" w:ascii="宋体" w:hAnsi="宋体" w:cs="宋体"/>
          <w:szCs w:val="21"/>
        </w:rPr>
        <w:t>1.1.4.4  竣工日期：指第1.1.4.3目约定工期届满时的日期。实际竣工日期以工程接收证书中写明的日期为准。</w:t>
      </w:r>
    </w:p>
    <w:p w14:paraId="5506195D">
      <w:pPr>
        <w:tabs>
          <w:tab w:val="left" w:pos="3855"/>
        </w:tabs>
        <w:spacing w:line="360" w:lineRule="auto"/>
        <w:outlineLvl w:val="3"/>
        <w:rPr>
          <w:rFonts w:ascii="宋体" w:hAnsi="宋体" w:cs="宋体"/>
          <w:szCs w:val="21"/>
        </w:rPr>
      </w:pPr>
      <w:r>
        <w:rPr>
          <w:rFonts w:hint="eastAsia" w:ascii="宋体" w:hAnsi="宋体" w:cs="宋体"/>
          <w:szCs w:val="21"/>
        </w:rPr>
        <w:t>1.1.4.5  缺陷责任期：指履行第19.2款约定的缺陷责任的期限，包括根据第19.3款约定所作的延长。缺陷责任期的具体期限见合同条款专用部分。</w:t>
      </w:r>
    </w:p>
    <w:p w14:paraId="6607D927">
      <w:pPr>
        <w:tabs>
          <w:tab w:val="left" w:pos="3855"/>
        </w:tabs>
        <w:spacing w:line="360" w:lineRule="auto"/>
        <w:outlineLvl w:val="3"/>
        <w:rPr>
          <w:rFonts w:ascii="宋体" w:hAnsi="宋体" w:cs="宋体"/>
          <w:szCs w:val="21"/>
        </w:rPr>
      </w:pPr>
      <w:r>
        <w:rPr>
          <w:rFonts w:hint="eastAsia" w:ascii="宋体" w:hAnsi="宋体" w:cs="宋体"/>
          <w:szCs w:val="21"/>
        </w:rPr>
        <w:t>1.1.4.6  基准日期：指投标截止时间前28天的日期。</w:t>
      </w:r>
    </w:p>
    <w:p w14:paraId="56229B3D">
      <w:pPr>
        <w:tabs>
          <w:tab w:val="left" w:pos="3855"/>
        </w:tabs>
        <w:spacing w:line="360" w:lineRule="auto"/>
        <w:outlineLvl w:val="3"/>
        <w:rPr>
          <w:rFonts w:ascii="宋体" w:hAnsi="宋体" w:cs="宋体"/>
          <w:szCs w:val="21"/>
        </w:rPr>
      </w:pPr>
      <w:r>
        <w:rPr>
          <w:rFonts w:hint="eastAsia" w:ascii="宋体" w:hAnsi="宋体" w:cs="宋体"/>
          <w:szCs w:val="21"/>
        </w:rPr>
        <w:t>1.1.4.7  天：除特别指明外，指日历天。合同中按天计算时间的，开始当天不计入，从次日开始计算。期限最后一天的截止时间为当天24:00。</w:t>
      </w:r>
    </w:p>
    <w:p w14:paraId="08AA467C">
      <w:pPr>
        <w:tabs>
          <w:tab w:val="left" w:pos="3855"/>
        </w:tabs>
        <w:spacing w:line="360" w:lineRule="auto"/>
        <w:outlineLvl w:val="3"/>
        <w:rPr>
          <w:rFonts w:ascii="宋体" w:hAnsi="宋体" w:cs="宋体"/>
          <w:szCs w:val="21"/>
        </w:rPr>
      </w:pPr>
      <w:r>
        <w:rPr>
          <w:rFonts w:hint="eastAsia" w:ascii="宋体" w:hAnsi="宋体" w:cs="宋体"/>
          <w:szCs w:val="21"/>
        </w:rPr>
        <w:t>1.1.4.8  保修期：是根据现行有关法律规定，在合同条款第19.7款中约定的由承包人自工程竣工验收之日起两年内负责对合同约定的保修范围内发生的质量问题履行保修义务并对造成的损失承担赔偿责任的期限。</w:t>
      </w:r>
    </w:p>
    <w:p w14:paraId="075EB5ED">
      <w:pPr>
        <w:tabs>
          <w:tab w:val="left" w:pos="3855"/>
        </w:tabs>
        <w:spacing w:line="360" w:lineRule="auto"/>
        <w:outlineLvl w:val="2"/>
        <w:rPr>
          <w:rFonts w:ascii="宋体" w:hAnsi="宋体" w:cs="宋体"/>
          <w:szCs w:val="21"/>
        </w:rPr>
      </w:pPr>
      <w:r>
        <w:rPr>
          <w:rFonts w:hint="eastAsia" w:ascii="宋体" w:hAnsi="宋体" w:cs="宋体"/>
          <w:szCs w:val="21"/>
        </w:rPr>
        <w:t>1.1.5  合同价格和费用</w:t>
      </w:r>
    </w:p>
    <w:p w14:paraId="57760563">
      <w:pPr>
        <w:tabs>
          <w:tab w:val="left" w:pos="3855"/>
        </w:tabs>
        <w:spacing w:line="360" w:lineRule="auto"/>
        <w:outlineLvl w:val="3"/>
        <w:rPr>
          <w:rFonts w:ascii="宋体" w:hAnsi="宋体" w:cs="宋体"/>
          <w:szCs w:val="21"/>
        </w:rPr>
      </w:pPr>
      <w:r>
        <w:rPr>
          <w:rFonts w:hint="eastAsia" w:ascii="宋体" w:hAnsi="宋体" w:cs="宋体"/>
          <w:szCs w:val="21"/>
        </w:rPr>
        <w:t>1.1.5.1  签约合同价：指签定合同时合同协议书中写明的，包括了暂列金额、暂估价的合同总金额。</w:t>
      </w:r>
    </w:p>
    <w:p w14:paraId="65B97AF5">
      <w:pPr>
        <w:tabs>
          <w:tab w:val="left" w:pos="3855"/>
        </w:tabs>
        <w:spacing w:line="360" w:lineRule="auto"/>
        <w:outlineLvl w:val="3"/>
        <w:rPr>
          <w:rFonts w:ascii="宋体" w:hAnsi="宋体" w:cs="宋体"/>
          <w:szCs w:val="21"/>
        </w:rPr>
      </w:pPr>
      <w:r>
        <w:rPr>
          <w:rFonts w:hint="eastAsia" w:ascii="宋体" w:hAnsi="宋体" w:cs="宋体"/>
          <w:szCs w:val="21"/>
        </w:rPr>
        <w:t>1.1.5.2  合同价格：指承包人按合同约定完成了包括缺陷责任期内的全部承包工作后，发包人应付给承包人的金额，包括在履行合同过程中按合同约定进行的变更和调整。</w:t>
      </w:r>
    </w:p>
    <w:p w14:paraId="17AEFA99">
      <w:pPr>
        <w:tabs>
          <w:tab w:val="left" w:pos="3855"/>
        </w:tabs>
        <w:spacing w:line="360" w:lineRule="auto"/>
        <w:outlineLvl w:val="3"/>
        <w:rPr>
          <w:rFonts w:ascii="宋体" w:hAnsi="宋体" w:cs="宋体"/>
          <w:szCs w:val="21"/>
        </w:rPr>
      </w:pPr>
      <w:r>
        <w:rPr>
          <w:rFonts w:hint="eastAsia" w:ascii="宋体" w:hAnsi="宋体" w:cs="宋体"/>
          <w:szCs w:val="21"/>
        </w:rPr>
        <w:t>1.1.5.3  费用：指为履行合同所发生的或将要发生的所有合理开支，包括管理费和应分摊的其他费用，但不包括利润。</w:t>
      </w:r>
    </w:p>
    <w:p w14:paraId="2ED08125">
      <w:pPr>
        <w:tabs>
          <w:tab w:val="left" w:pos="3855"/>
        </w:tabs>
        <w:spacing w:line="360" w:lineRule="auto"/>
        <w:outlineLvl w:val="3"/>
        <w:rPr>
          <w:rFonts w:ascii="宋体" w:hAnsi="宋体" w:cs="宋体"/>
          <w:szCs w:val="21"/>
        </w:rPr>
      </w:pPr>
      <w:r>
        <w:rPr>
          <w:rFonts w:hint="eastAsia" w:ascii="宋体" w:hAnsi="宋体" w:cs="宋体"/>
          <w:szCs w:val="21"/>
        </w:rPr>
        <w:t>1.1.5.4  暂列金额：指已标价工程量清单中所列的暂列金额，用于在签订协议书时尚未确定或不可预见变更的施工及其所需材料、工程设备、服务等的金额，包括以计日工方式支付的金额。</w:t>
      </w:r>
    </w:p>
    <w:p w14:paraId="0FF73FD0">
      <w:pPr>
        <w:tabs>
          <w:tab w:val="left" w:pos="3855"/>
        </w:tabs>
        <w:spacing w:line="360" w:lineRule="auto"/>
        <w:outlineLvl w:val="3"/>
        <w:rPr>
          <w:rFonts w:ascii="宋体" w:hAnsi="宋体" w:cs="宋体"/>
          <w:szCs w:val="21"/>
        </w:rPr>
      </w:pPr>
      <w:r>
        <w:rPr>
          <w:rFonts w:hint="eastAsia" w:ascii="宋体" w:hAnsi="宋体" w:cs="宋体"/>
          <w:szCs w:val="21"/>
        </w:rPr>
        <w:t>1.1.5.5  暂估价：指发包人在工程量清单中给定的用于支付必然发生但暂时不能确定价格的材料、设备以及专业工程的金额。</w:t>
      </w:r>
    </w:p>
    <w:p w14:paraId="1B57BA19">
      <w:pPr>
        <w:tabs>
          <w:tab w:val="left" w:pos="3855"/>
        </w:tabs>
        <w:spacing w:line="360" w:lineRule="auto"/>
        <w:outlineLvl w:val="3"/>
        <w:rPr>
          <w:rFonts w:ascii="宋体" w:hAnsi="宋体" w:cs="宋体"/>
          <w:szCs w:val="21"/>
        </w:rPr>
      </w:pPr>
      <w:r>
        <w:rPr>
          <w:rFonts w:hint="eastAsia" w:ascii="宋体" w:hAnsi="宋体" w:cs="宋体"/>
          <w:szCs w:val="21"/>
        </w:rPr>
        <w:t>1.1.5.6  计日工：指对零星工作采取的一种计价方式，按合同中的计日工子目及其单价计价付款。</w:t>
      </w:r>
    </w:p>
    <w:p w14:paraId="0F8B1904">
      <w:pPr>
        <w:tabs>
          <w:tab w:val="left" w:pos="3855"/>
        </w:tabs>
        <w:spacing w:line="360" w:lineRule="auto"/>
        <w:outlineLvl w:val="3"/>
        <w:rPr>
          <w:rFonts w:ascii="宋体" w:hAnsi="宋体" w:cs="宋体"/>
          <w:szCs w:val="21"/>
        </w:rPr>
      </w:pPr>
      <w:r>
        <w:rPr>
          <w:rFonts w:hint="eastAsia" w:ascii="宋体" w:hAnsi="宋体" w:cs="宋体"/>
          <w:szCs w:val="21"/>
        </w:rPr>
        <w:t>1.1.5.7  质量保证金（或称保留金）：指按第17.4.1项约定用于保证在缺陷责任期内履行缺陷修复义务的金额。</w:t>
      </w:r>
    </w:p>
    <w:p w14:paraId="664B7050">
      <w:pPr>
        <w:tabs>
          <w:tab w:val="left" w:pos="3855"/>
        </w:tabs>
        <w:spacing w:line="360" w:lineRule="auto"/>
        <w:outlineLvl w:val="2"/>
        <w:rPr>
          <w:rFonts w:ascii="宋体" w:hAnsi="宋体" w:cs="宋体"/>
          <w:szCs w:val="21"/>
        </w:rPr>
      </w:pPr>
      <w:r>
        <w:rPr>
          <w:rFonts w:hint="eastAsia" w:ascii="宋体" w:hAnsi="宋体" w:cs="宋体"/>
          <w:szCs w:val="21"/>
        </w:rPr>
        <w:t>1.1.6  书面形式</w:t>
      </w:r>
    </w:p>
    <w:p w14:paraId="7720A04D">
      <w:pPr>
        <w:tabs>
          <w:tab w:val="left" w:pos="3855"/>
        </w:tabs>
        <w:spacing w:line="360" w:lineRule="auto"/>
        <w:rPr>
          <w:rFonts w:ascii="宋体" w:hAnsi="宋体" w:cs="宋体"/>
          <w:szCs w:val="21"/>
        </w:rPr>
      </w:pPr>
      <w:r>
        <w:rPr>
          <w:rFonts w:hint="eastAsia" w:ascii="宋体" w:hAnsi="宋体" w:cs="宋体"/>
          <w:szCs w:val="21"/>
        </w:rPr>
        <w:t>书面形式：指合同文件、信函、电报、传真等可以有形地表现所载内容的形式。</w:t>
      </w:r>
    </w:p>
    <w:p w14:paraId="39B291C0">
      <w:pPr>
        <w:tabs>
          <w:tab w:val="left" w:pos="3855"/>
        </w:tabs>
        <w:spacing w:line="360" w:lineRule="auto"/>
        <w:outlineLvl w:val="2"/>
        <w:rPr>
          <w:rFonts w:ascii="宋体" w:hAnsi="宋体" w:cs="宋体"/>
          <w:szCs w:val="21"/>
        </w:rPr>
      </w:pPr>
      <w:r>
        <w:rPr>
          <w:rFonts w:hint="eastAsia" w:ascii="宋体" w:hAnsi="宋体" w:cs="宋体"/>
          <w:szCs w:val="21"/>
        </w:rPr>
        <w:t>1.1.7  争议评审组</w:t>
      </w:r>
    </w:p>
    <w:p w14:paraId="128E3C42">
      <w:pPr>
        <w:tabs>
          <w:tab w:val="left" w:pos="3855"/>
        </w:tabs>
        <w:spacing w:line="360" w:lineRule="auto"/>
        <w:rPr>
          <w:rFonts w:ascii="宋体" w:hAnsi="宋体" w:cs="宋体"/>
          <w:szCs w:val="21"/>
        </w:rPr>
      </w:pPr>
      <w:r>
        <w:rPr>
          <w:rFonts w:hint="eastAsia" w:ascii="宋体" w:hAnsi="宋体" w:cs="宋体"/>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75AA6AB8">
      <w:pPr>
        <w:tabs>
          <w:tab w:val="left" w:pos="3855"/>
        </w:tabs>
        <w:spacing w:line="360" w:lineRule="auto"/>
        <w:outlineLvl w:val="2"/>
        <w:rPr>
          <w:rFonts w:ascii="宋体" w:hAnsi="宋体" w:cs="宋体"/>
          <w:szCs w:val="21"/>
        </w:rPr>
      </w:pPr>
      <w:r>
        <w:rPr>
          <w:rFonts w:hint="eastAsia" w:ascii="宋体" w:hAnsi="宋体" w:cs="宋体"/>
          <w:szCs w:val="21"/>
        </w:rPr>
        <w:t>1.1.8  其他需要补充的内容</w:t>
      </w:r>
    </w:p>
    <w:p w14:paraId="25CCFE45">
      <w:pPr>
        <w:tabs>
          <w:tab w:val="left" w:pos="3855"/>
        </w:tabs>
        <w:spacing w:line="360" w:lineRule="auto"/>
        <w:rPr>
          <w:rFonts w:ascii="宋体" w:hAnsi="宋体" w:cs="宋体"/>
          <w:szCs w:val="21"/>
        </w:rPr>
      </w:pPr>
      <w:r>
        <w:rPr>
          <w:rFonts w:hint="eastAsia" w:ascii="宋体" w:hAnsi="宋体" w:cs="宋体"/>
          <w:szCs w:val="21"/>
        </w:rPr>
        <w:t>其他需要补充的内容见合同条款专用部分。</w:t>
      </w:r>
    </w:p>
    <w:p w14:paraId="4443666C">
      <w:pPr>
        <w:tabs>
          <w:tab w:val="left" w:pos="3855"/>
        </w:tabs>
        <w:spacing w:line="360" w:lineRule="auto"/>
        <w:outlineLvl w:val="1"/>
        <w:rPr>
          <w:rFonts w:ascii="宋体" w:hAnsi="宋体" w:cs="宋体"/>
          <w:szCs w:val="21"/>
        </w:rPr>
      </w:pPr>
      <w:bookmarkStart w:id="718" w:name="_Toc152042391"/>
      <w:bookmarkStart w:id="719" w:name="_Toc483668073"/>
      <w:bookmarkStart w:id="720" w:name="_Toc152045613"/>
      <w:bookmarkStart w:id="721" w:name="_Toc480486898"/>
      <w:bookmarkStart w:id="722" w:name="_Toc497456434"/>
      <w:bookmarkStart w:id="723" w:name="_Toc342296264"/>
      <w:bookmarkStart w:id="724" w:name="_Toc480486726"/>
      <w:bookmarkStart w:id="725" w:name="_Toc486580044"/>
      <w:bookmarkStart w:id="726" w:name="_Toc490222489"/>
      <w:bookmarkStart w:id="727" w:name="_Toc179632631"/>
      <w:bookmarkStart w:id="728" w:name="_Toc144974581"/>
      <w:bookmarkStart w:id="729" w:name="_Toc489279855"/>
      <w:bookmarkStart w:id="730" w:name="_Toc338944706"/>
      <w:r>
        <w:rPr>
          <w:rFonts w:hint="eastAsia" w:ascii="宋体" w:hAnsi="宋体" w:cs="宋体"/>
          <w:szCs w:val="21"/>
        </w:rPr>
        <w:t>1.2  语言文字</w:t>
      </w:r>
      <w:bookmarkEnd w:id="718"/>
      <w:bookmarkEnd w:id="719"/>
      <w:bookmarkEnd w:id="720"/>
      <w:bookmarkEnd w:id="721"/>
      <w:bookmarkEnd w:id="722"/>
      <w:bookmarkEnd w:id="723"/>
      <w:bookmarkEnd w:id="724"/>
      <w:bookmarkEnd w:id="725"/>
      <w:bookmarkEnd w:id="726"/>
      <w:bookmarkEnd w:id="727"/>
      <w:bookmarkEnd w:id="728"/>
      <w:bookmarkEnd w:id="729"/>
      <w:bookmarkEnd w:id="730"/>
    </w:p>
    <w:p w14:paraId="68BD1067">
      <w:pPr>
        <w:tabs>
          <w:tab w:val="left" w:pos="3855"/>
        </w:tabs>
        <w:spacing w:line="360" w:lineRule="auto"/>
        <w:rPr>
          <w:rFonts w:ascii="宋体" w:hAnsi="宋体" w:cs="宋体"/>
          <w:szCs w:val="21"/>
        </w:rPr>
      </w:pPr>
      <w:r>
        <w:rPr>
          <w:rFonts w:hint="eastAsia" w:ascii="宋体" w:hAnsi="宋体" w:cs="宋体"/>
          <w:szCs w:val="21"/>
        </w:rPr>
        <w:t>除专用术语外，合同使用的语言文字为中文。必要时专用术语应附有中文注释。</w:t>
      </w:r>
    </w:p>
    <w:p w14:paraId="382B3116">
      <w:pPr>
        <w:tabs>
          <w:tab w:val="left" w:pos="3855"/>
        </w:tabs>
        <w:spacing w:line="360" w:lineRule="auto"/>
        <w:outlineLvl w:val="1"/>
        <w:rPr>
          <w:rFonts w:ascii="宋体" w:hAnsi="宋体" w:cs="宋体"/>
          <w:szCs w:val="21"/>
        </w:rPr>
      </w:pPr>
      <w:bookmarkStart w:id="731" w:name="_Toc490222490"/>
      <w:bookmarkStart w:id="732" w:name="_Toc480486899"/>
      <w:bookmarkStart w:id="733" w:name="_Toc497456435"/>
      <w:bookmarkStart w:id="734" w:name="_Toc486580045"/>
      <w:bookmarkStart w:id="735" w:name="_Toc338944707"/>
      <w:bookmarkStart w:id="736" w:name="_Toc480486727"/>
      <w:bookmarkStart w:id="737" w:name="_Toc144974582"/>
      <w:bookmarkStart w:id="738" w:name="_Toc152045614"/>
      <w:bookmarkStart w:id="739" w:name="_Toc483668074"/>
      <w:bookmarkStart w:id="740" w:name="_Toc489279856"/>
      <w:bookmarkStart w:id="741" w:name="_Toc152042392"/>
      <w:bookmarkStart w:id="742" w:name="_Toc342296265"/>
      <w:bookmarkStart w:id="743" w:name="_Toc179632632"/>
      <w:r>
        <w:rPr>
          <w:rFonts w:hint="eastAsia" w:ascii="宋体" w:hAnsi="宋体" w:cs="宋体"/>
          <w:szCs w:val="21"/>
        </w:rPr>
        <w:t>1.3  法律</w:t>
      </w:r>
      <w:bookmarkEnd w:id="731"/>
      <w:bookmarkEnd w:id="732"/>
      <w:bookmarkEnd w:id="733"/>
      <w:bookmarkEnd w:id="734"/>
      <w:bookmarkEnd w:id="735"/>
      <w:bookmarkEnd w:id="736"/>
      <w:bookmarkEnd w:id="737"/>
      <w:bookmarkEnd w:id="738"/>
      <w:bookmarkEnd w:id="739"/>
      <w:bookmarkEnd w:id="740"/>
      <w:bookmarkEnd w:id="741"/>
      <w:bookmarkEnd w:id="742"/>
      <w:bookmarkEnd w:id="743"/>
    </w:p>
    <w:p w14:paraId="6C06E185">
      <w:pPr>
        <w:tabs>
          <w:tab w:val="left" w:pos="3855"/>
        </w:tabs>
        <w:spacing w:line="360" w:lineRule="auto"/>
        <w:rPr>
          <w:rFonts w:ascii="宋体" w:hAnsi="宋体" w:cs="宋体"/>
          <w:szCs w:val="21"/>
        </w:rPr>
      </w:pPr>
      <w:r>
        <w:rPr>
          <w:rFonts w:hint="eastAsia" w:ascii="宋体" w:hAnsi="宋体" w:cs="宋体"/>
          <w:szCs w:val="21"/>
        </w:rPr>
        <w:t>适用于合同的法律包括中华人民共和国法律、行政法规、部门规章，以及工程所在地的地方法规、自治条例、单行条例和地方政府规章。</w:t>
      </w:r>
    </w:p>
    <w:p w14:paraId="5F06A4EC">
      <w:pPr>
        <w:tabs>
          <w:tab w:val="left" w:pos="3855"/>
        </w:tabs>
        <w:spacing w:line="360" w:lineRule="auto"/>
        <w:outlineLvl w:val="1"/>
        <w:rPr>
          <w:rFonts w:ascii="宋体" w:hAnsi="宋体" w:cs="宋体"/>
          <w:szCs w:val="21"/>
        </w:rPr>
      </w:pPr>
      <w:bookmarkStart w:id="744" w:name="_Toc486580046"/>
      <w:bookmarkStart w:id="745" w:name="_Toc342296266"/>
      <w:bookmarkStart w:id="746" w:name="_Toc497456436"/>
      <w:bookmarkStart w:id="747" w:name="_Toc489279857"/>
      <w:bookmarkStart w:id="748" w:name="_Toc480486900"/>
      <w:bookmarkStart w:id="749" w:name="_Toc480486728"/>
      <w:bookmarkStart w:id="750" w:name="_Toc338944708"/>
      <w:bookmarkStart w:id="751" w:name="_Toc483668075"/>
      <w:bookmarkStart w:id="752" w:name="_Toc490222491"/>
      <w:r>
        <w:rPr>
          <w:rFonts w:hint="eastAsia" w:ascii="宋体" w:hAnsi="宋体" w:cs="宋体"/>
          <w:szCs w:val="21"/>
        </w:rPr>
        <w:t>1.4  合同文件的优先顺序</w:t>
      </w:r>
      <w:bookmarkEnd w:id="744"/>
      <w:bookmarkEnd w:id="745"/>
      <w:bookmarkEnd w:id="746"/>
      <w:bookmarkEnd w:id="747"/>
      <w:bookmarkEnd w:id="748"/>
      <w:bookmarkEnd w:id="749"/>
      <w:bookmarkEnd w:id="750"/>
      <w:bookmarkEnd w:id="751"/>
      <w:bookmarkEnd w:id="752"/>
    </w:p>
    <w:p w14:paraId="1CF1EA72">
      <w:pPr>
        <w:tabs>
          <w:tab w:val="left" w:pos="3855"/>
        </w:tabs>
        <w:spacing w:line="360" w:lineRule="auto"/>
        <w:rPr>
          <w:rFonts w:ascii="宋体" w:hAnsi="宋体" w:cs="宋体"/>
          <w:szCs w:val="21"/>
        </w:rPr>
      </w:pPr>
      <w:r>
        <w:rPr>
          <w:rFonts w:hint="eastAsia" w:ascii="宋体" w:hAnsi="宋体" w:cs="宋体"/>
          <w:szCs w:val="21"/>
        </w:rPr>
        <w:t>组成合同的各项文件应互相解释，互为说明。除合同条款专用部分另有约定外，解释合同文件的优先顺序如下：</w:t>
      </w:r>
    </w:p>
    <w:p w14:paraId="07BBE2CC">
      <w:pPr>
        <w:tabs>
          <w:tab w:val="left" w:pos="3855"/>
        </w:tabs>
        <w:spacing w:line="360" w:lineRule="auto"/>
        <w:rPr>
          <w:rFonts w:ascii="宋体" w:hAnsi="宋体" w:cs="宋体"/>
          <w:szCs w:val="21"/>
        </w:rPr>
      </w:pPr>
      <w:r>
        <w:rPr>
          <w:rFonts w:hint="eastAsia" w:ascii="宋体" w:hAnsi="宋体" w:cs="宋体"/>
          <w:szCs w:val="21"/>
        </w:rPr>
        <w:t>（1）合同协议书；</w:t>
      </w:r>
    </w:p>
    <w:p w14:paraId="4DF8553F">
      <w:pPr>
        <w:tabs>
          <w:tab w:val="left" w:pos="3855"/>
        </w:tabs>
        <w:spacing w:line="360" w:lineRule="auto"/>
        <w:rPr>
          <w:rFonts w:ascii="宋体" w:hAnsi="宋体" w:cs="宋体"/>
          <w:szCs w:val="21"/>
        </w:rPr>
      </w:pPr>
      <w:r>
        <w:rPr>
          <w:rFonts w:hint="eastAsia" w:ascii="宋体" w:hAnsi="宋体" w:cs="宋体"/>
          <w:szCs w:val="21"/>
        </w:rPr>
        <w:t>（2）中标通知书；</w:t>
      </w:r>
    </w:p>
    <w:p w14:paraId="4AEB2103">
      <w:pPr>
        <w:tabs>
          <w:tab w:val="left" w:pos="3855"/>
        </w:tabs>
        <w:spacing w:line="360" w:lineRule="auto"/>
        <w:rPr>
          <w:rFonts w:ascii="宋体" w:hAnsi="宋体" w:cs="宋体"/>
          <w:szCs w:val="21"/>
        </w:rPr>
      </w:pPr>
      <w:r>
        <w:rPr>
          <w:rFonts w:hint="eastAsia" w:ascii="宋体" w:hAnsi="宋体" w:cs="宋体"/>
          <w:szCs w:val="21"/>
        </w:rPr>
        <w:t>（3）投标函及投标函附录；</w:t>
      </w:r>
    </w:p>
    <w:p w14:paraId="395E42BD">
      <w:pPr>
        <w:tabs>
          <w:tab w:val="left" w:pos="3855"/>
        </w:tabs>
        <w:spacing w:line="360" w:lineRule="auto"/>
        <w:rPr>
          <w:rFonts w:ascii="宋体" w:hAnsi="宋体" w:cs="宋体"/>
          <w:szCs w:val="21"/>
        </w:rPr>
      </w:pPr>
      <w:r>
        <w:rPr>
          <w:rFonts w:hint="eastAsia" w:ascii="宋体" w:hAnsi="宋体" w:cs="宋体"/>
          <w:szCs w:val="21"/>
        </w:rPr>
        <w:t>（4）合同条款专用部分；</w:t>
      </w:r>
    </w:p>
    <w:p w14:paraId="70330D8C">
      <w:pPr>
        <w:tabs>
          <w:tab w:val="left" w:pos="3855"/>
        </w:tabs>
        <w:spacing w:line="360" w:lineRule="auto"/>
        <w:rPr>
          <w:rFonts w:ascii="宋体" w:hAnsi="宋体" w:cs="宋体"/>
          <w:szCs w:val="21"/>
        </w:rPr>
      </w:pPr>
      <w:r>
        <w:rPr>
          <w:rFonts w:hint="eastAsia" w:ascii="宋体" w:hAnsi="宋体" w:cs="宋体"/>
          <w:szCs w:val="21"/>
        </w:rPr>
        <w:t>（5）合同条款通用部分；</w:t>
      </w:r>
    </w:p>
    <w:p w14:paraId="719B993C">
      <w:pPr>
        <w:tabs>
          <w:tab w:val="left" w:pos="3855"/>
        </w:tabs>
        <w:spacing w:line="360" w:lineRule="auto"/>
        <w:rPr>
          <w:rFonts w:ascii="宋体" w:hAnsi="宋体" w:cs="宋体"/>
          <w:szCs w:val="21"/>
        </w:rPr>
      </w:pPr>
      <w:r>
        <w:rPr>
          <w:rFonts w:hint="eastAsia" w:ascii="宋体" w:hAnsi="宋体" w:cs="宋体"/>
          <w:szCs w:val="21"/>
        </w:rPr>
        <w:t>（6）技术标准和要求；</w:t>
      </w:r>
    </w:p>
    <w:p w14:paraId="795289DB">
      <w:pPr>
        <w:tabs>
          <w:tab w:val="left" w:pos="3855"/>
        </w:tabs>
        <w:spacing w:line="360" w:lineRule="auto"/>
        <w:rPr>
          <w:rFonts w:ascii="宋体" w:hAnsi="宋体" w:cs="宋体"/>
          <w:szCs w:val="21"/>
        </w:rPr>
      </w:pPr>
      <w:r>
        <w:rPr>
          <w:rFonts w:hint="eastAsia" w:ascii="宋体" w:hAnsi="宋体" w:cs="宋体"/>
          <w:szCs w:val="21"/>
        </w:rPr>
        <w:t>（7）图纸；</w:t>
      </w:r>
    </w:p>
    <w:p w14:paraId="6E7F8886">
      <w:pPr>
        <w:tabs>
          <w:tab w:val="left" w:pos="3855"/>
        </w:tabs>
        <w:spacing w:line="360" w:lineRule="auto"/>
        <w:rPr>
          <w:rFonts w:ascii="宋体" w:hAnsi="宋体" w:cs="宋体"/>
          <w:szCs w:val="21"/>
        </w:rPr>
      </w:pPr>
      <w:r>
        <w:rPr>
          <w:rFonts w:hint="eastAsia" w:ascii="宋体" w:hAnsi="宋体" w:cs="宋体"/>
          <w:szCs w:val="21"/>
        </w:rPr>
        <w:t>（8）已标价工程量清单；</w:t>
      </w:r>
    </w:p>
    <w:p w14:paraId="2DA56129">
      <w:pPr>
        <w:tabs>
          <w:tab w:val="left" w:pos="3855"/>
        </w:tabs>
        <w:spacing w:line="360" w:lineRule="auto"/>
        <w:rPr>
          <w:rFonts w:ascii="宋体" w:hAnsi="宋体" w:cs="宋体"/>
          <w:szCs w:val="21"/>
        </w:rPr>
      </w:pPr>
      <w:r>
        <w:rPr>
          <w:rFonts w:hint="eastAsia" w:ascii="宋体" w:hAnsi="宋体" w:cs="宋体"/>
          <w:szCs w:val="21"/>
        </w:rPr>
        <w:t>（9）其他合同文件。</w:t>
      </w:r>
    </w:p>
    <w:p w14:paraId="3C8D2BB3">
      <w:pPr>
        <w:tabs>
          <w:tab w:val="left" w:pos="3855"/>
        </w:tabs>
        <w:spacing w:line="360" w:lineRule="auto"/>
        <w:rPr>
          <w:rFonts w:ascii="宋体" w:hAnsi="宋体" w:cs="宋体"/>
          <w:szCs w:val="21"/>
        </w:rPr>
      </w:pPr>
      <w:r>
        <w:rPr>
          <w:rFonts w:hint="eastAsia" w:ascii="宋体" w:hAnsi="宋体" w:cs="宋体"/>
          <w:szCs w:val="21"/>
        </w:rPr>
        <w:t>附注：构成合同文件的图纸与技术标准和要求之间有矛盾或者不一致的，应以其中要求较严格的标准为准。</w:t>
      </w:r>
    </w:p>
    <w:p w14:paraId="0ED248A6">
      <w:pPr>
        <w:tabs>
          <w:tab w:val="left" w:pos="3855"/>
        </w:tabs>
        <w:spacing w:line="360" w:lineRule="auto"/>
        <w:rPr>
          <w:rFonts w:ascii="宋体" w:hAnsi="宋体" w:cs="宋体"/>
          <w:szCs w:val="21"/>
        </w:rPr>
      </w:pPr>
      <w:r>
        <w:rPr>
          <w:rFonts w:hint="eastAsia" w:ascii="宋体" w:hAnsi="宋体" w:cs="宋体"/>
          <w:szCs w:val="21"/>
        </w:rPr>
        <w:t>合同双方在合同履行过程中签署的不背离合同实质性内容的补充协议，应当视为合同文件的有效组成部分，其解释顺序视其内容与其他合同文件的相互关系而定。</w:t>
      </w:r>
    </w:p>
    <w:p w14:paraId="3439BAE2">
      <w:pPr>
        <w:tabs>
          <w:tab w:val="left" w:pos="3855"/>
        </w:tabs>
        <w:spacing w:line="360" w:lineRule="auto"/>
        <w:outlineLvl w:val="1"/>
        <w:rPr>
          <w:rFonts w:ascii="宋体" w:hAnsi="宋体" w:cs="宋体"/>
          <w:szCs w:val="21"/>
        </w:rPr>
      </w:pPr>
      <w:bookmarkStart w:id="753" w:name="_Toc497456437"/>
      <w:bookmarkStart w:id="754" w:name="_Toc480486729"/>
      <w:bookmarkStart w:id="755" w:name="_Toc480486901"/>
      <w:bookmarkStart w:id="756" w:name="_Toc342296267"/>
      <w:bookmarkStart w:id="757" w:name="_Toc489279858"/>
      <w:bookmarkStart w:id="758" w:name="_Toc486580047"/>
      <w:bookmarkStart w:id="759" w:name="_Toc490222492"/>
      <w:bookmarkStart w:id="760" w:name="_Toc483668076"/>
      <w:bookmarkStart w:id="761" w:name="_Toc338944709"/>
      <w:r>
        <w:rPr>
          <w:rFonts w:hint="eastAsia" w:ascii="宋体" w:hAnsi="宋体" w:cs="宋体"/>
          <w:szCs w:val="21"/>
        </w:rPr>
        <w:t>1.5  合同协议书</w:t>
      </w:r>
      <w:bookmarkEnd w:id="753"/>
      <w:bookmarkEnd w:id="754"/>
      <w:bookmarkEnd w:id="755"/>
      <w:bookmarkEnd w:id="756"/>
      <w:bookmarkEnd w:id="757"/>
      <w:bookmarkEnd w:id="758"/>
      <w:bookmarkEnd w:id="759"/>
      <w:bookmarkEnd w:id="760"/>
      <w:bookmarkEnd w:id="761"/>
    </w:p>
    <w:p w14:paraId="25C33AE2">
      <w:pPr>
        <w:tabs>
          <w:tab w:val="left" w:pos="3855"/>
        </w:tabs>
        <w:spacing w:line="360" w:lineRule="auto"/>
        <w:rPr>
          <w:rFonts w:ascii="宋体" w:hAnsi="宋体" w:cs="宋体"/>
          <w:szCs w:val="21"/>
        </w:rPr>
      </w:pPr>
      <w:r>
        <w:rPr>
          <w:rFonts w:hint="eastAsia" w:ascii="宋体" w:hAnsi="宋体" w:cs="宋体"/>
          <w:szCs w:val="21"/>
        </w:rPr>
        <w:t>指由发包人与承包人共同签署的用于明确当事人合同关系的文件。承包人按照中标通知书规定的时间与发包人签订的合同协议书，除法律另有规定或合同条款专用部分另有约定外，发包人和承包人的法定代表人或其委托代理人在合同协议书上签字并盖单位章后，合同生效。合同生效的条件见合同条款专用部分。</w:t>
      </w:r>
    </w:p>
    <w:p w14:paraId="4DB6AE37">
      <w:pPr>
        <w:tabs>
          <w:tab w:val="left" w:pos="3855"/>
        </w:tabs>
        <w:spacing w:line="360" w:lineRule="auto"/>
        <w:outlineLvl w:val="1"/>
        <w:rPr>
          <w:rFonts w:ascii="宋体" w:hAnsi="宋体" w:cs="宋体"/>
          <w:szCs w:val="21"/>
        </w:rPr>
      </w:pPr>
      <w:bookmarkStart w:id="762" w:name="_Toc480486730"/>
      <w:bookmarkStart w:id="763" w:name="_Toc489279859"/>
      <w:bookmarkStart w:id="764" w:name="_Toc342296268"/>
      <w:bookmarkStart w:id="765" w:name="_Toc480486902"/>
      <w:bookmarkStart w:id="766" w:name="_Toc338944710"/>
      <w:bookmarkStart w:id="767" w:name="_Toc486580048"/>
      <w:bookmarkStart w:id="768" w:name="_Toc483668077"/>
      <w:bookmarkStart w:id="769" w:name="_Toc497456438"/>
      <w:bookmarkStart w:id="770" w:name="_Toc490222493"/>
      <w:r>
        <w:rPr>
          <w:rFonts w:hint="eastAsia" w:ascii="宋体" w:hAnsi="宋体" w:cs="宋体"/>
          <w:szCs w:val="21"/>
        </w:rPr>
        <w:t>1.6  图纸和承包人文件</w:t>
      </w:r>
      <w:bookmarkEnd w:id="762"/>
      <w:bookmarkEnd w:id="763"/>
      <w:bookmarkEnd w:id="764"/>
      <w:bookmarkEnd w:id="765"/>
      <w:bookmarkEnd w:id="766"/>
      <w:bookmarkEnd w:id="767"/>
      <w:bookmarkEnd w:id="768"/>
      <w:bookmarkEnd w:id="769"/>
      <w:bookmarkEnd w:id="770"/>
    </w:p>
    <w:p w14:paraId="74466412">
      <w:pPr>
        <w:tabs>
          <w:tab w:val="left" w:pos="3855"/>
        </w:tabs>
        <w:spacing w:line="360" w:lineRule="auto"/>
        <w:outlineLvl w:val="2"/>
        <w:rPr>
          <w:rFonts w:ascii="宋体" w:hAnsi="宋体" w:cs="宋体"/>
          <w:szCs w:val="21"/>
        </w:rPr>
      </w:pPr>
      <w:r>
        <w:rPr>
          <w:rFonts w:hint="eastAsia" w:ascii="宋体" w:hAnsi="宋体" w:cs="宋体"/>
          <w:szCs w:val="21"/>
        </w:rPr>
        <w:t>1.6.1  图纸的提供</w:t>
      </w:r>
    </w:p>
    <w:p w14:paraId="4B79FC8D">
      <w:pPr>
        <w:tabs>
          <w:tab w:val="left" w:pos="3855"/>
        </w:tabs>
        <w:spacing w:line="360" w:lineRule="auto"/>
        <w:rPr>
          <w:rFonts w:ascii="宋体" w:hAnsi="宋体" w:cs="宋体"/>
          <w:szCs w:val="21"/>
        </w:rPr>
      </w:pPr>
      <w:r>
        <w:rPr>
          <w:rFonts w:hint="eastAsia" w:ascii="宋体" w:hAnsi="宋体" w:cs="宋体"/>
          <w:szCs w:val="21"/>
        </w:rPr>
        <w:t>（1）发包人按照合同约定向承包人提供图纸。发包人未按时提供图纸造成工期延误的，按第11.3款的约定办理。承包人需要增加图纸套数的，发包人应代为复制，复制费用由承包人承担。</w:t>
      </w:r>
    </w:p>
    <w:p w14:paraId="21DA8A5C">
      <w:pPr>
        <w:tabs>
          <w:tab w:val="left" w:pos="3855"/>
        </w:tabs>
        <w:spacing w:line="360" w:lineRule="auto"/>
        <w:rPr>
          <w:rFonts w:ascii="宋体" w:hAnsi="宋体" w:cs="宋体"/>
          <w:szCs w:val="21"/>
        </w:rPr>
      </w:pPr>
      <w:r>
        <w:rPr>
          <w:rFonts w:hint="eastAsia" w:ascii="宋体" w:hAnsi="宋体" w:cs="宋体"/>
          <w:szCs w:val="21"/>
        </w:rPr>
        <w:t>（2）依据合同条款专用部分第10.1款约定制定的合同进度计划，或依据合同条款专用部分第10.2款约定修订的合同进度计划，经监理人批准后7日内，承包人应当根据合同进度计划或合同进度计划修订和本项约定的图纸提供期限和数量，编制或者修改图纸供应计划并报送监理人，其中应当载明承包人对各最新版本图纸(包括第1.6.3项约定的图纸修改图)的最迟需求时间，监理人应当在收到图纸供应计划后7天内批复或提出修改意见，否则该图纸供应计划视为得到批准。</w:t>
      </w:r>
    </w:p>
    <w:p w14:paraId="57FABCCB">
      <w:pPr>
        <w:tabs>
          <w:tab w:val="left" w:pos="3855"/>
        </w:tabs>
        <w:spacing w:line="360" w:lineRule="auto"/>
        <w:rPr>
          <w:rFonts w:ascii="宋体" w:hAnsi="宋体" w:cs="宋体"/>
          <w:szCs w:val="21"/>
        </w:rPr>
      </w:pPr>
      <w:r>
        <w:rPr>
          <w:rFonts w:hint="eastAsia" w:ascii="宋体" w:hAnsi="宋体" w:cs="宋体"/>
          <w:szCs w:val="21"/>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14:paraId="49299BA0">
      <w:pPr>
        <w:tabs>
          <w:tab w:val="left" w:pos="3855"/>
        </w:tabs>
        <w:spacing w:line="360" w:lineRule="auto"/>
        <w:rPr>
          <w:rFonts w:ascii="宋体" w:hAnsi="宋体" w:cs="宋体"/>
          <w:szCs w:val="21"/>
        </w:rPr>
      </w:pPr>
      <w:r>
        <w:rPr>
          <w:rFonts w:hint="eastAsia" w:ascii="宋体" w:hAnsi="宋体" w:cs="宋体"/>
          <w:szCs w:val="21"/>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14:paraId="5C4427D5">
      <w:pPr>
        <w:tabs>
          <w:tab w:val="left" w:pos="3855"/>
        </w:tabs>
        <w:spacing w:line="360" w:lineRule="auto"/>
        <w:rPr>
          <w:rFonts w:ascii="宋体" w:hAnsi="宋体" w:cs="宋体"/>
          <w:szCs w:val="21"/>
        </w:rPr>
      </w:pPr>
      <w:r>
        <w:rPr>
          <w:rFonts w:hint="eastAsia" w:ascii="宋体" w:hAnsi="宋体" w:cs="宋体"/>
          <w:szCs w:val="21"/>
        </w:rPr>
        <w:t>（5）发包人提供图纸的期限、数量和其他约定见合同条款专用部分。</w:t>
      </w:r>
    </w:p>
    <w:p w14:paraId="3DB906FF">
      <w:pPr>
        <w:tabs>
          <w:tab w:val="left" w:pos="3855"/>
        </w:tabs>
        <w:spacing w:line="360" w:lineRule="auto"/>
        <w:outlineLvl w:val="2"/>
        <w:rPr>
          <w:rFonts w:ascii="宋体" w:hAnsi="宋体" w:cs="宋体"/>
          <w:szCs w:val="21"/>
        </w:rPr>
      </w:pPr>
      <w:r>
        <w:rPr>
          <w:rFonts w:hint="eastAsia" w:ascii="宋体" w:hAnsi="宋体" w:cs="宋体"/>
          <w:szCs w:val="21"/>
        </w:rPr>
        <w:t>1.6.2  承包人提供的文件</w:t>
      </w:r>
    </w:p>
    <w:p w14:paraId="7E4E3EB2">
      <w:pPr>
        <w:tabs>
          <w:tab w:val="left" w:pos="3855"/>
        </w:tabs>
        <w:spacing w:line="360" w:lineRule="auto"/>
        <w:rPr>
          <w:rFonts w:ascii="宋体" w:hAnsi="宋体" w:cs="宋体"/>
          <w:szCs w:val="21"/>
        </w:rPr>
      </w:pPr>
      <w:r>
        <w:rPr>
          <w:rFonts w:hint="eastAsia" w:ascii="宋体" w:hAnsi="宋体" w:cs="宋体"/>
          <w:szCs w:val="21"/>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14:paraId="1AC83F9B">
      <w:pPr>
        <w:tabs>
          <w:tab w:val="left" w:pos="3855"/>
        </w:tabs>
        <w:spacing w:line="360" w:lineRule="auto"/>
        <w:rPr>
          <w:rFonts w:ascii="宋体" w:hAnsi="宋体" w:cs="宋体"/>
          <w:szCs w:val="21"/>
        </w:rPr>
      </w:pPr>
      <w:r>
        <w:rPr>
          <w:rFonts w:hint="eastAsia" w:ascii="宋体" w:hAnsi="宋体" w:cs="宋体"/>
          <w:szCs w:val="21"/>
        </w:rPr>
        <w:t>（2）除合同条款第4.1.10项约定的由承包人提供的设计文件外，本项约定的其他应由承包人提供的文件，包括必要的加工图和大样图，均不能作为合同计量与支付的依据文件。</w:t>
      </w:r>
    </w:p>
    <w:p w14:paraId="0F3CEA6A">
      <w:pPr>
        <w:tabs>
          <w:tab w:val="left" w:pos="3855"/>
        </w:tabs>
        <w:spacing w:line="360" w:lineRule="auto"/>
        <w:outlineLvl w:val="2"/>
        <w:rPr>
          <w:rFonts w:ascii="宋体" w:hAnsi="宋体" w:cs="宋体"/>
          <w:szCs w:val="21"/>
        </w:rPr>
      </w:pPr>
      <w:r>
        <w:rPr>
          <w:rFonts w:hint="eastAsia" w:ascii="宋体" w:hAnsi="宋体" w:cs="宋体"/>
          <w:szCs w:val="21"/>
        </w:rPr>
        <w:t>1.6.3  图纸的修改</w:t>
      </w:r>
    </w:p>
    <w:p w14:paraId="2EF99477">
      <w:pPr>
        <w:tabs>
          <w:tab w:val="left" w:pos="3855"/>
        </w:tabs>
        <w:spacing w:line="360" w:lineRule="auto"/>
        <w:rPr>
          <w:rFonts w:ascii="宋体" w:hAnsi="宋体" w:cs="宋体"/>
          <w:szCs w:val="21"/>
        </w:rPr>
      </w:pPr>
      <w:r>
        <w:rPr>
          <w:rFonts w:hint="eastAsia" w:ascii="宋体" w:hAnsi="宋体" w:cs="宋体"/>
          <w:szCs w:val="21"/>
        </w:rPr>
        <w:t>图纸需要修改和补充的，监理人应当按照合同条款第1.6.1（2）目约定的有合同约束力的图纸供应计划，签发图纸修改图给承包人。承包人应按修改后的图纸施工。</w:t>
      </w:r>
    </w:p>
    <w:p w14:paraId="37C1564C">
      <w:pPr>
        <w:tabs>
          <w:tab w:val="left" w:pos="3855"/>
        </w:tabs>
        <w:spacing w:line="360" w:lineRule="auto"/>
        <w:outlineLvl w:val="2"/>
        <w:rPr>
          <w:rFonts w:ascii="宋体" w:hAnsi="宋体" w:cs="宋体"/>
          <w:szCs w:val="21"/>
        </w:rPr>
      </w:pPr>
      <w:r>
        <w:rPr>
          <w:rFonts w:hint="eastAsia" w:ascii="宋体" w:hAnsi="宋体" w:cs="宋体"/>
          <w:szCs w:val="21"/>
        </w:rPr>
        <w:t>1.6.4  图纸的错误</w:t>
      </w:r>
    </w:p>
    <w:p w14:paraId="0F187CE0">
      <w:pPr>
        <w:tabs>
          <w:tab w:val="left" w:pos="3855"/>
        </w:tabs>
        <w:spacing w:line="360" w:lineRule="auto"/>
        <w:rPr>
          <w:rFonts w:ascii="宋体" w:hAnsi="宋体" w:cs="宋体"/>
          <w:szCs w:val="21"/>
        </w:rPr>
      </w:pPr>
      <w:r>
        <w:rPr>
          <w:rFonts w:hint="eastAsia" w:ascii="宋体" w:hAnsi="宋体" w:cs="宋体"/>
          <w:szCs w:val="21"/>
        </w:rPr>
        <w:t>承包人发现发包人提供的图纸存在明显错误或疏忽，应及时通知监理人。</w:t>
      </w:r>
    </w:p>
    <w:p w14:paraId="397B59FE">
      <w:pPr>
        <w:tabs>
          <w:tab w:val="left" w:pos="3855"/>
        </w:tabs>
        <w:spacing w:line="360" w:lineRule="auto"/>
        <w:outlineLvl w:val="2"/>
        <w:rPr>
          <w:rFonts w:ascii="宋体" w:hAnsi="宋体" w:cs="宋体"/>
          <w:szCs w:val="21"/>
        </w:rPr>
      </w:pPr>
      <w:r>
        <w:rPr>
          <w:rFonts w:hint="eastAsia" w:ascii="宋体" w:hAnsi="宋体" w:cs="宋体"/>
          <w:szCs w:val="21"/>
        </w:rPr>
        <w:t>1.6.5  图纸和承包人文件的保管</w:t>
      </w:r>
    </w:p>
    <w:p w14:paraId="4C383D17">
      <w:pPr>
        <w:tabs>
          <w:tab w:val="left" w:pos="3855"/>
        </w:tabs>
        <w:spacing w:line="360" w:lineRule="auto"/>
        <w:rPr>
          <w:rFonts w:ascii="宋体" w:hAnsi="宋体" w:cs="宋体"/>
          <w:szCs w:val="21"/>
        </w:rPr>
      </w:pPr>
      <w:r>
        <w:rPr>
          <w:rFonts w:hint="eastAsia" w:ascii="宋体" w:hAnsi="宋体" w:cs="宋体"/>
          <w:szCs w:val="21"/>
        </w:rPr>
        <w:t>监理人和承包人均应在施工场地各保存一套完整的包含第1.6.1项、第1.6.2项、第1.6.3项约定内容的图纸和承包人文件。</w:t>
      </w:r>
    </w:p>
    <w:p w14:paraId="248C70B3">
      <w:pPr>
        <w:tabs>
          <w:tab w:val="left" w:pos="3855"/>
        </w:tabs>
        <w:spacing w:line="360" w:lineRule="auto"/>
        <w:outlineLvl w:val="1"/>
        <w:rPr>
          <w:rFonts w:ascii="宋体" w:hAnsi="宋体" w:cs="宋体"/>
          <w:szCs w:val="21"/>
        </w:rPr>
      </w:pPr>
      <w:bookmarkStart w:id="771" w:name="_Toc486580049"/>
      <w:bookmarkStart w:id="772" w:name="_Toc338944711"/>
      <w:bookmarkStart w:id="773" w:name="_Toc342296269"/>
      <w:bookmarkStart w:id="774" w:name="_Toc480486731"/>
      <w:bookmarkStart w:id="775" w:name="_Toc490222494"/>
      <w:bookmarkStart w:id="776" w:name="_Toc483668078"/>
      <w:bookmarkStart w:id="777" w:name="_Toc489279860"/>
      <w:bookmarkStart w:id="778" w:name="_Toc480486903"/>
      <w:bookmarkStart w:id="779" w:name="_Toc497456439"/>
      <w:r>
        <w:rPr>
          <w:rFonts w:hint="eastAsia" w:ascii="宋体" w:hAnsi="宋体" w:cs="宋体"/>
          <w:szCs w:val="21"/>
        </w:rPr>
        <w:t>1.7  联络</w:t>
      </w:r>
      <w:bookmarkEnd w:id="771"/>
      <w:bookmarkEnd w:id="772"/>
      <w:bookmarkEnd w:id="773"/>
      <w:bookmarkEnd w:id="774"/>
      <w:bookmarkEnd w:id="775"/>
      <w:bookmarkEnd w:id="776"/>
      <w:bookmarkEnd w:id="777"/>
      <w:bookmarkEnd w:id="778"/>
      <w:bookmarkEnd w:id="779"/>
    </w:p>
    <w:p w14:paraId="3ACC5899">
      <w:pPr>
        <w:tabs>
          <w:tab w:val="left" w:pos="3855"/>
        </w:tabs>
        <w:spacing w:line="360" w:lineRule="auto"/>
        <w:outlineLvl w:val="2"/>
        <w:rPr>
          <w:rFonts w:ascii="宋体" w:hAnsi="宋体" w:cs="宋体"/>
          <w:szCs w:val="21"/>
        </w:rPr>
      </w:pPr>
      <w:r>
        <w:rPr>
          <w:rFonts w:hint="eastAsia" w:ascii="宋体" w:hAnsi="宋体" w:cs="宋体"/>
          <w:szCs w:val="21"/>
        </w:rPr>
        <w:t>1.7.1  与合同有关的通知、批准、证明、证书、指示、要求、请求、同意、意见、确定和决定等，均应采用书面形式。</w:t>
      </w:r>
    </w:p>
    <w:p w14:paraId="4C6FA9B1">
      <w:pPr>
        <w:tabs>
          <w:tab w:val="left" w:pos="3855"/>
        </w:tabs>
        <w:spacing w:line="360" w:lineRule="auto"/>
        <w:outlineLvl w:val="2"/>
        <w:rPr>
          <w:rFonts w:ascii="宋体" w:hAnsi="宋体" w:cs="宋体"/>
          <w:szCs w:val="21"/>
        </w:rPr>
      </w:pPr>
      <w:r>
        <w:rPr>
          <w:rFonts w:hint="eastAsia" w:ascii="宋体" w:hAnsi="宋体" w:cs="宋体"/>
          <w:szCs w:val="21"/>
        </w:rPr>
        <w:t>1.7.2  第1.7.1项中的通知、批准、证明、证书、指示、要求、请求、同意、意见、确定和决定等来往函件，均应在合同约定的期限内送达指定地点和接收人，并办理签收手续。</w:t>
      </w:r>
    </w:p>
    <w:p w14:paraId="72CDC968">
      <w:pPr>
        <w:tabs>
          <w:tab w:val="left" w:pos="3855"/>
        </w:tabs>
        <w:spacing w:line="360" w:lineRule="auto"/>
        <w:rPr>
          <w:rFonts w:ascii="宋体" w:hAnsi="宋体" w:cs="宋体"/>
          <w:szCs w:val="21"/>
        </w:rPr>
      </w:pPr>
      <w:r>
        <w:rPr>
          <w:rFonts w:hint="eastAsia" w:ascii="宋体" w:hAnsi="宋体" w:cs="宋体"/>
          <w:szCs w:val="21"/>
        </w:rPr>
        <w:t>（1）联络来往信函的送达期限：合同约定了发出期限的，送达期限为合同约定的发出期限后的24小时内；合同约定了通知、提供或者报送期限的，通知、提供或者报送期限即为送达期限。</w:t>
      </w:r>
    </w:p>
    <w:p w14:paraId="5BB4A061">
      <w:pPr>
        <w:tabs>
          <w:tab w:val="left" w:pos="3855"/>
        </w:tabs>
        <w:spacing w:line="360" w:lineRule="auto"/>
        <w:rPr>
          <w:rFonts w:ascii="宋体" w:hAnsi="宋体" w:cs="宋体"/>
          <w:szCs w:val="21"/>
        </w:rPr>
      </w:pPr>
      <w:r>
        <w:rPr>
          <w:rFonts w:hint="eastAsia" w:ascii="宋体" w:hAnsi="宋体" w:cs="宋体"/>
          <w:szCs w:val="21"/>
        </w:rPr>
        <w:t>（2）发包人指定的接收人和接收地点见合同条款专用部分。</w:t>
      </w:r>
    </w:p>
    <w:p w14:paraId="3B797DFC">
      <w:pPr>
        <w:tabs>
          <w:tab w:val="left" w:pos="3855"/>
        </w:tabs>
        <w:spacing w:line="360" w:lineRule="auto"/>
        <w:rPr>
          <w:rFonts w:ascii="宋体" w:hAnsi="宋体" w:cs="宋体"/>
          <w:szCs w:val="21"/>
        </w:rPr>
      </w:pPr>
      <w:r>
        <w:rPr>
          <w:rFonts w:hint="eastAsia" w:ascii="宋体" w:hAnsi="宋体" w:cs="宋体"/>
          <w:szCs w:val="21"/>
        </w:rPr>
        <w:t>（3）监理人指定的接收人和接收地点见合同条款专用部分。</w:t>
      </w:r>
    </w:p>
    <w:p w14:paraId="3EE2F0BB">
      <w:pPr>
        <w:tabs>
          <w:tab w:val="left" w:pos="3855"/>
        </w:tabs>
        <w:spacing w:line="360" w:lineRule="auto"/>
        <w:rPr>
          <w:rFonts w:ascii="宋体" w:hAnsi="宋体" w:cs="宋体"/>
          <w:szCs w:val="21"/>
        </w:rPr>
      </w:pPr>
      <w:r>
        <w:rPr>
          <w:rFonts w:hint="eastAsia" w:ascii="宋体" w:hAnsi="宋体" w:cs="宋体"/>
          <w:szCs w:val="21"/>
        </w:rPr>
        <w:t>（4）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233A1B04">
      <w:pPr>
        <w:tabs>
          <w:tab w:val="left" w:pos="3855"/>
        </w:tabs>
        <w:spacing w:line="360" w:lineRule="auto"/>
        <w:rPr>
          <w:rFonts w:ascii="宋体" w:hAnsi="宋体" w:cs="宋体"/>
          <w:szCs w:val="21"/>
        </w:rPr>
      </w:pPr>
      <w:r>
        <w:rPr>
          <w:rFonts w:hint="eastAsia" w:ascii="宋体" w:hAnsi="宋体" w:cs="宋体"/>
          <w:szCs w:val="21"/>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14:paraId="072B1D35">
      <w:pPr>
        <w:tabs>
          <w:tab w:val="left" w:pos="3855"/>
        </w:tabs>
        <w:spacing w:line="360" w:lineRule="auto"/>
        <w:rPr>
          <w:rFonts w:ascii="宋体" w:hAnsi="宋体" w:cs="宋体"/>
          <w:szCs w:val="21"/>
        </w:rPr>
      </w:pPr>
      <w:r>
        <w:rPr>
          <w:rFonts w:hint="eastAsia" w:ascii="宋体" w:hAnsi="宋体" w:cs="宋体"/>
          <w:szCs w:val="21"/>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1C0C28F0">
      <w:pPr>
        <w:tabs>
          <w:tab w:val="left" w:pos="3855"/>
        </w:tabs>
        <w:spacing w:line="360" w:lineRule="auto"/>
        <w:outlineLvl w:val="1"/>
        <w:rPr>
          <w:rFonts w:ascii="宋体" w:hAnsi="宋体" w:cs="宋体"/>
          <w:szCs w:val="21"/>
        </w:rPr>
      </w:pPr>
      <w:bookmarkStart w:id="780" w:name="_Toc489279861"/>
      <w:bookmarkStart w:id="781" w:name="_Toc152045619"/>
      <w:bookmarkStart w:id="782" w:name="_Toc486580050"/>
      <w:bookmarkStart w:id="783" w:name="_Toc342296270"/>
      <w:bookmarkStart w:id="784" w:name="_Toc480486732"/>
      <w:bookmarkStart w:id="785" w:name="_Toc179632637"/>
      <w:bookmarkStart w:id="786" w:name="_Toc152042397"/>
      <w:bookmarkStart w:id="787" w:name="_Toc144974587"/>
      <w:bookmarkStart w:id="788" w:name="_Toc480486904"/>
      <w:bookmarkStart w:id="789" w:name="_Toc497456440"/>
      <w:bookmarkStart w:id="790" w:name="_Toc483668079"/>
      <w:bookmarkStart w:id="791" w:name="_Toc490222495"/>
      <w:bookmarkStart w:id="792" w:name="_Toc338944712"/>
      <w:r>
        <w:rPr>
          <w:rFonts w:hint="eastAsia" w:ascii="宋体" w:hAnsi="宋体" w:cs="宋体"/>
          <w:szCs w:val="21"/>
        </w:rPr>
        <w:t>1.8  转让</w:t>
      </w:r>
      <w:bookmarkEnd w:id="780"/>
      <w:bookmarkEnd w:id="781"/>
      <w:bookmarkEnd w:id="782"/>
      <w:bookmarkEnd w:id="783"/>
      <w:bookmarkEnd w:id="784"/>
      <w:bookmarkEnd w:id="785"/>
      <w:bookmarkEnd w:id="786"/>
      <w:bookmarkEnd w:id="787"/>
      <w:bookmarkEnd w:id="788"/>
      <w:bookmarkEnd w:id="789"/>
      <w:bookmarkEnd w:id="790"/>
      <w:bookmarkEnd w:id="791"/>
      <w:bookmarkEnd w:id="792"/>
    </w:p>
    <w:p w14:paraId="198B38E3">
      <w:pPr>
        <w:tabs>
          <w:tab w:val="left" w:pos="3855"/>
        </w:tabs>
        <w:spacing w:line="360" w:lineRule="auto"/>
        <w:rPr>
          <w:rFonts w:ascii="宋体" w:hAnsi="宋体" w:cs="宋体"/>
          <w:szCs w:val="21"/>
        </w:rPr>
      </w:pPr>
      <w:r>
        <w:rPr>
          <w:rFonts w:hint="eastAsia" w:ascii="宋体" w:hAnsi="宋体" w:cs="宋体"/>
          <w:szCs w:val="21"/>
        </w:rPr>
        <w:t>除合同另有约定外，未经对方当事人同意，一方当事人不得将合同权利全部或部分转让给第三人，也不得全部或部分转移合同义务。</w:t>
      </w:r>
    </w:p>
    <w:p w14:paraId="0D120AB3">
      <w:pPr>
        <w:tabs>
          <w:tab w:val="left" w:pos="3855"/>
        </w:tabs>
        <w:spacing w:line="360" w:lineRule="auto"/>
        <w:outlineLvl w:val="1"/>
        <w:rPr>
          <w:rFonts w:ascii="宋体" w:hAnsi="宋体" w:cs="宋体"/>
          <w:szCs w:val="21"/>
        </w:rPr>
      </w:pPr>
      <w:bookmarkStart w:id="793" w:name="_Toc179632638"/>
      <w:bookmarkStart w:id="794" w:name="_Toc490222496"/>
      <w:bookmarkStart w:id="795" w:name="_Toc486580051"/>
      <w:bookmarkStart w:id="796" w:name="_Toc342296271"/>
      <w:bookmarkStart w:id="797" w:name="_Toc480486905"/>
      <w:bookmarkStart w:id="798" w:name="_Toc152045620"/>
      <w:bookmarkStart w:id="799" w:name="_Toc480486733"/>
      <w:bookmarkStart w:id="800" w:name="_Toc497456441"/>
      <w:bookmarkStart w:id="801" w:name="_Toc338944713"/>
      <w:bookmarkStart w:id="802" w:name="_Toc152042398"/>
      <w:bookmarkStart w:id="803" w:name="_Toc144974588"/>
      <w:bookmarkStart w:id="804" w:name="_Toc489279862"/>
      <w:bookmarkStart w:id="805" w:name="_Toc483668080"/>
      <w:r>
        <w:rPr>
          <w:rFonts w:hint="eastAsia" w:ascii="宋体" w:hAnsi="宋体" w:cs="宋体"/>
          <w:szCs w:val="21"/>
        </w:rPr>
        <w:t>1.9  严禁贿赂</w:t>
      </w:r>
      <w:bookmarkEnd w:id="793"/>
      <w:bookmarkEnd w:id="794"/>
      <w:bookmarkEnd w:id="795"/>
      <w:bookmarkEnd w:id="796"/>
      <w:bookmarkEnd w:id="797"/>
      <w:bookmarkEnd w:id="798"/>
      <w:bookmarkEnd w:id="799"/>
      <w:bookmarkEnd w:id="800"/>
      <w:bookmarkEnd w:id="801"/>
      <w:bookmarkEnd w:id="802"/>
      <w:bookmarkEnd w:id="803"/>
      <w:bookmarkEnd w:id="804"/>
      <w:bookmarkEnd w:id="805"/>
    </w:p>
    <w:p w14:paraId="08312B47">
      <w:pPr>
        <w:tabs>
          <w:tab w:val="left" w:pos="3855"/>
        </w:tabs>
        <w:spacing w:line="360" w:lineRule="auto"/>
        <w:rPr>
          <w:rFonts w:ascii="宋体" w:hAnsi="宋体" w:cs="宋体"/>
          <w:szCs w:val="21"/>
        </w:rPr>
      </w:pPr>
      <w:r>
        <w:rPr>
          <w:rFonts w:hint="eastAsia" w:ascii="宋体" w:hAnsi="宋体" w:cs="宋体"/>
          <w:szCs w:val="21"/>
        </w:rPr>
        <w:t>合同双方当事人不得以贿赂或变相贿赂的方式，谋取不当利益或损害对方权益。因贿赂造成对方损失的，行为人应赔偿损失，并承担相应的法律责任。</w:t>
      </w:r>
    </w:p>
    <w:p w14:paraId="615609C0">
      <w:pPr>
        <w:tabs>
          <w:tab w:val="left" w:pos="3855"/>
        </w:tabs>
        <w:spacing w:line="360" w:lineRule="auto"/>
        <w:outlineLvl w:val="1"/>
        <w:rPr>
          <w:rFonts w:ascii="宋体" w:hAnsi="宋体" w:cs="宋体"/>
          <w:szCs w:val="21"/>
        </w:rPr>
      </w:pPr>
      <w:bookmarkStart w:id="806" w:name="_Toc483668081"/>
      <w:bookmarkStart w:id="807" w:name="_Toc179632639"/>
      <w:bookmarkStart w:id="808" w:name="_Toc152042399"/>
      <w:bookmarkStart w:id="809" w:name="_Toc480486906"/>
      <w:bookmarkStart w:id="810" w:name="_Toc342296272"/>
      <w:bookmarkStart w:id="811" w:name="_Toc490222497"/>
      <w:bookmarkStart w:id="812" w:name="_Toc489279863"/>
      <w:bookmarkStart w:id="813" w:name="_Toc338944714"/>
      <w:bookmarkStart w:id="814" w:name="_Toc486580052"/>
      <w:bookmarkStart w:id="815" w:name="_Toc152045621"/>
      <w:bookmarkStart w:id="816" w:name="_Toc497456442"/>
      <w:bookmarkStart w:id="817" w:name="_Toc480486734"/>
      <w:bookmarkStart w:id="818" w:name="_Toc144974589"/>
      <w:r>
        <w:rPr>
          <w:rFonts w:hint="eastAsia" w:ascii="宋体" w:hAnsi="宋体" w:cs="宋体"/>
          <w:szCs w:val="21"/>
        </w:rPr>
        <w:t>1.10  化石、文物</w:t>
      </w:r>
      <w:bookmarkEnd w:id="806"/>
      <w:bookmarkEnd w:id="807"/>
      <w:bookmarkEnd w:id="808"/>
      <w:bookmarkEnd w:id="809"/>
      <w:bookmarkEnd w:id="810"/>
      <w:bookmarkEnd w:id="811"/>
      <w:bookmarkEnd w:id="812"/>
      <w:bookmarkEnd w:id="813"/>
      <w:bookmarkEnd w:id="814"/>
      <w:bookmarkEnd w:id="815"/>
      <w:bookmarkEnd w:id="816"/>
      <w:bookmarkEnd w:id="817"/>
      <w:bookmarkEnd w:id="818"/>
    </w:p>
    <w:p w14:paraId="3CC0E51D">
      <w:pPr>
        <w:tabs>
          <w:tab w:val="left" w:pos="3855"/>
        </w:tabs>
        <w:spacing w:line="360" w:lineRule="auto"/>
        <w:outlineLvl w:val="2"/>
        <w:rPr>
          <w:rFonts w:ascii="宋体" w:hAnsi="宋体" w:cs="宋体"/>
          <w:szCs w:val="21"/>
        </w:rPr>
      </w:pPr>
      <w:r>
        <w:rPr>
          <w:rFonts w:hint="eastAsia" w:ascii="宋体" w:hAnsi="宋体" w:cs="宋体"/>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4F22659F">
      <w:pPr>
        <w:tabs>
          <w:tab w:val="left" w:pos="3855"/>
        </w:tabs>
        <w:spacing w:line="360" w:lineRule="auto"/>
        <w:outlineLvl w:val="2"/>
        <w:rPr>
          <w:rFonts w:ascii="宋体" w:hAnsi="宋体" w:cs="宋体"/>
          <w:szCs w:val="21"/>
        </w:rPr>
      </w:pPr>
      <w:r>
        <w:rPr>
          <w:rFonts w:hint="eastAsia" w:ascii="宋体" w:hAnsi="宋体" w:cs="宋体"/>
          <w:szCs w:val="21"/>
        </w:rPr>
        <w:t>1.10.2  承包人发现文物后不及时报告或隐瞒不报，致使文物丢失或损坏的，应赔偿损失，并承担相应的法律责任。</w:t>
      </w:r>
    </w:p>
    <w:p w14:paraId="75A167AA">
      <w:pPr>
        <w:tabs>
          <w:tab w:val="left" w:pos="3855"/>
        </w:tabs>
        <w:spacing w:line="360" w:lineRule="auto"/>
        <w:outlineLvl w:val="1"/>
        <w:rPr>
          <w:rFonts w:ascii="宋体" w:hAnsi="宋体" w:cs="宋体"/>
          <w:szCs w:val="21"/>
        </w:rPr>
      </w:pPr>
      <w:bookmarkStart w:id="819" w:name="_Toc489279864"/>
      <w:bookmarkStart w:id="820" w:name="_Toc486580053"/>
      <w:bookmarkStart w:id="821" w:name="_Toc483668082"/>
      <w:bookmarkStart w:id="822" w:name="_Toc497456443"/>
      <w:bookmarkStart w:id="823" w:name="_Toc480486735"/>
      <w:bookmarkStart w:id="824" w:name="_Toc144974590"/>
      <w:bookmarkStart w:id="825" w:name="_Toc152045622"/>
      <w:bookmarkStart w:id="826" w:name="_Toc179632640"/>
      <w:bookmarkStart w:id="827" w:name="_Toc480486907"/>
      <w:bookmarkStart w:id="828" w:name="_Toc342296273"/>
      <w:bookmarkStart w:id="829" w:name="_Toc152042400"/>
      <w:bookmarkStart w:id="830" w:name="_Toc490222498"/>
      <w:bookmarkStart w:id="831" w:name="_Toc338944715"/>
      <w:r>
        <w:rPr>
          <w:rFonts w:hint="eastAsia" w:ascii="宋体" w:hAnsi="宋体" w:cs="宋体"/>
          <w:szCs w:val="21"/>
        </w:rPr>
        <w:t>1.11  专利技术</w:t>
      </w:r>
      <w:bookmarkEnd w:id="819"/>
      <w:bookmarkEnd w:id="820"/>
      <w:bookmarkEnd w:id="821"/>
      <w:bookmarkEnd w:id="822"/>
      <w:bookmarkEnd w:id="823"/>
      <w:bookmarkEnd w:id="824"/>
      <w:bookmarkEnd w:id="825"/>
      <w:bookmarkEnd w:id="826"/>
      <w:bookmarkEnd w:id="827"/>
      <w:bookmarkEnd w:id="828"/>
      <w:bookmarkEnd w:id="829"/>
      <w:bookmarkEnd w:id="830"/>
      <w:bookmarkEnd w:id="831"/>
    </w:p>
    <w:p w14:paraId="4C12DBF8">
      <w:pPr>
        <w:tabs>
          <w:tab w:val="left" w:pos="3855"/>
        </w:tabs>
        <w:spacing w:line="360" w:lineRule="auto"/>
        <w:outlineLvl w:val="2"/>
        <w:rPr>
          <w:rFonts w:ascii="宋体" w:hAnsi="宋体" w:cs="宋体"/>
          <w:szCs w:val="21"/>
        </w:rPr>
      </w:pPr>
      <w:r>
        <w:rPr>
          <w:rFonts w:hint="eastAsia" w:ascii="宋体" w:hAnsi="宋体" w:cs="宋体"/>
          <w:szCs w:val="21"/>
        </w:rPr>
        <w:t>1.11.1  承包人在使用任何材料、承包人设备、工程设备或采用施工工艺时，因侵犯专利权或其他知识产权所引起的责任，由承包人承担，但由于遵照发包人提供的设计或技术标准和要求引起的除外。</w:t>
      </w:r>
    </w:p>
    <w:p w14:paraId="0A8D92A3">
      <w:pPr>
        <w:tabs>
          <w:tab w:val="left" w:pos="3855"/>
        </w:tabs>
        <w:spacing w:line="360" w:lineRule="auto"/>
        <w:outlineLvl w:val="2"/>
        <w:rPr>
          <w:rFonts w:ascii="宋体" w:hAnsi="宋体" w:cs="宋体"/>
          <w:szCs w:val="21"/>
        </w:rPr>
      </w:pPr>
      <w:r>
        <w:rPr>
          <w:rFonts w:hint="eastAsia" w:ascii="宋体" w:hAnsi="宋体" w:cs="宋体"/>
          <w:szCs w:val="21"/>
        </w:rPr>
        <w:t>1.11.2  承包人在投标文件中采用专利技术的，专利技术的使用费包含在投标报价内。</w:t>
      </w:r>
    </w:p>
    <w:p w14:paraId="743F2D03">
      <w:pPr>
        <w:tabs>
          <w:tab w:val="left" w:pos="3855"/>
        </w:tabs>
        <w:spacing w:line="360" w:lineRule="auto"/>
        <w:outlineLvl w:val="2"/>
        <w:rPr>
          <w:rFonts w:ascii="宋体" w:hAnsi="宋体" w:cs="宋体"/>
          <w:szCs w:val="21"/>
        </w:rPr>
      </w:pPr>
      <w:r>
        <w:rPr>
          <w:rFonts w:hint="eastAsia" w:ascii="宋体" w:hAnsi="宋体" w:cs="宋体"/>
          <w:szCs w:val="21"/>
        </w:rPr>
        <w:t>1.11.3  承包人的技术秘密和声明需要保密的资料和信息，发包人和监理人不得为合同以外的目的泄露给他人。</w:t>
      </w:r>
    </w:p>
    <w:p w14:paraId="36AEB5F7">
      <w:pPr>
        <w:tabs>
          <w:tab w:val="left" w:pos="3855"/>
        </w:tabs>
        <w:spacing w:line="360" w:lineRule="auto"/>
        <w:outlineLvl w:val="1"/>
        <w:rPr>
          <w:rFonts w:ascii="宋体" w:hAnsi="宋体" w:cs="宋体"/>
          <w:szCs w:val="21"/>
        </w:rPr>
      </w:pPr>
      <w:bookmarkStart w:id="832" w:name="_Toc483668083"/>
      <w:bookmarkStart w:id="833" w:name="_Toc152042401"/>
      <w:bookmarkStart w:id="834" w:name="_Toc179632641"/>
      <w:bookmarkStart w:id="835" w:name="_Toc480486736"/>
      <w:bookmarkStart w:id="836" w:name="_Toc489279865"/>
      <w:bookmarkStart w:id="837" w:name="_Toc152045623"/>
      <w:bookmarkStart w:id="838" w:name="_Toc486580054"/>
      <w:bookmarkStart w:id="839" w:name="_Toc144974591"/>
      <w:bookmarkStart w:id="840" w:name="_Toc338944716"/>
      <w:bookmarkStart w:id="841" w:name="_Toc480486908"/>
      <w:bookmarkStart w:id="842" w:name="_Toc497456444"/>
      <w:bookmarkStart w:id="843" w:name="_Toc490222499"/>
      <w:bookmarkStart w:id="844" w:name="_Toc342296274"/>
      <w:r>
        <w:rPr>
          <w:rFonts w:hint="eastAsia" w:ascii="宋体" w:hAnsi="宋体" w:cs="宋体"/>
          <w:szCs w:val="21"/>
        </w:rPr>
        <w:t>1.12  图纸和文件的保密</w:t>
      </w:r>
      <w:bookmarkEnd w:id="832"/>
      <w:bookmarkEnd w:id="833"/>
      <w:bookmarkEnd w:id="834"/>
      <w:bookmarkEnd w:id="835"/>
      <w:bookmarkEnd w:id="836"/>
      <w:bookmarkEnd w:id="837"/>
      <w:bookmarkEnd w:id="838"/>
      <w:bookmarkEnd w:id="839"/>
      <w:bookmarkEnd w:id="840"/>
      <w:bookmarkEnd w:id="841"/>
      <w:bookmarkEnd w:id="842"/>
      <w:bookmarkEnd w:id="843"/>
      <w:bookmarkEnd w:id="844"/>
    </w:p>
    <w:p w14:paraId="67879188">
      <w:pPr>
        <w:tabs>
          <w:tab w:val="left" w:pos="3855"/>
        </w:tabs>
        <w:spacing w:line="360" w:lineRule="auto"/>
        <w:outlineLvl w:val="2"/>
        <w:rPr>
          <w:rFonts w:ascii="宋体" w:hAnsi="宋体" w:cs="宋体"/>
          <w:szCs w:val="21"/>
        </w:rPr>
      </w:pPr>
      <w:r>
        <w:rPr>
          <w:rFonts w:hint="eastAsia" w:ascii="宋体" w:hAnsi="宋体" w:cs="宋体"/>
          <w:szCs w:val="21"/>
        </w:rPr>
        <w:t>1.12.1  发包人提供的图纸和文件，未经发包人同意，承包人不得为合同以外的目的泄露给他人或公开发表与引用。</w:t>
      </w:r>
    </w:p>
    <w:p w14:paraId="56E6EF36">
      <w:pPr>
        <w:tabs>
          <w:tab w:val="left" w:pos="3855"/>
        </w:tabs>
        <w:spacing w:line="360" w:lineRule="auto"/>
        <w:outlineLvl w:val="2"/>
        <w:rPr>
          <w:rFonts w:ascii="宋体" w:hAnsi="宋体" w:cs="宋体"/>
          <w:szCs w:val="21"/>
        </w:rPr>
      </w:pPr>
      <w:r>
        <w:rPr>
          <w:rFonts w:hint="eastAsia" w:ascii="宋体" w:hAnsi="宋体" w:cs="宋体"/>
          <w:szCs w:val="21"/>
        </w:rPr>
        <w:t>1.12.2  承包人提供的文件，未经承包人同意，发包人和监理人不得为合同以外的目的泄露给他人或公开发表与引用。</w:t>
      </w:r>
    </w:p>
    <w:p w14:paraId="7473DE87">
      <w:pPr>
        <w:tabs>
          <w:tab w:val="left" w:pos="3855"/>
        </w:tabs>
        <w:spacing w:line="360" w:lineRule="auto"/>
        <w:outlineLvl w:val="0"/>
        <w:rPr>
          <w:rFonts w:ascii="宋体" w:hAnsi="宋体" w:cs="宋体"/>
          <w:szCs w:val="21"/>
        </w:rPr>
      </w:pPr>
      <w:bookmarkStart w:id="845" w:name="_Toc480486737"/>
      <w:bookmarkStart w:id="846" w:name="_Toc338944717"/>
      <w:bookmarkStart w:id="847" w:name="_Toc490222500"/>
      <w:bookmarkStart w:id="848" w:name="_Toc342296275"/>
      <w:bookmarkStart w:id="849" w:name="_Toc497456445"/>
      <w:bookmarkStart w:id="850" w:name="_Toc480486909"/>
      <w:bookmarkStart w:id="851" w:name="_Toc483668084"/>
      <w:bookmarkStart w:id="852" w:name="_Toc489279866"/>
      <w:bookmarkStart w:id="853" w:name="_Toc486580055"/>
      <w:r>
        <w:rPr>
          <w:rFonts w:hint="eastAsia" w:ascii="宋体" w:hAnsi="宋体" w:cs="宋体"/>
          <w:szCs w:val="21"/>
        </w:rPr>
        <w:t>2.发包人义务</w:t>
      </w:r>
      <w:bookmarkEnd w:id="845"/>
      <w:bookmarkEnd w:id="846"/>
      <w:bookmarkEnd w:id="847"/>
      <w:bookmarkEnd w:id="848"/>
      <w:bookmarkEnd w:id="849"/>
      <w:bookmarkEnd w:id="850"/>
      <w:bookmarkEnd w:id="851"/>
      <w:bookmarkEnd w:id="852"/>
      <w:bookmarkEnd w:id="853"/>
    </w:p>
    <w:p w14:paraId="1C2CE12C">
      <w:pPr>
        <w:tabs>
          <w:tab w:val="left" w:pos="3855"/>
        </w:tabs>
        <w:spacing w:line="360" w:lineRule="auto"/>
        <w:outlineLvl w:val="1"/>
        <w:rPr>
          <w:rFonts w:ascii="宋体" w:hAnsi="宋体" w:cs="宋体"/>
          <w:szCs w:val="21"/>
        </w:rPr>
      </w:pPr>
      <w:bookmarkStart w:id="854" w:name="_Toc490222501"/>
      <w:bookmarkStart w:id="855" w:name="_Toc342296276"/>
      <w:bookmarkStart w:id="856" w:name="_Toc497456446"/>
      <w:bookmarkStart w:id="857" w:name="_Toc152042403"/>
      <w:bookmarkStart w:id="858" w:name="_Toc152045625"/>
      <w:bookmarkStart w:id="859" w:name="_Toc338944718"/>
      <w:bookmarkStart w:id="860" w:name="_Toc480486738"/>
      <w:bookmarkStart w:id="861" w:name="_Toc483668085"/>
      <w:bookmarkStart w:id="862" w:name="_Toc179632643"/>
      <w:bookmarkStart w:id="863" w:name="_Toc144974593"/>
      <w:bookmarkStart w:id="864" w:name="_Toc486580056"/>
      <w:bookmarkStart w:id="865" w:name="_Toc480486910"/>
      <w:bookmarkStart w:id="866" w:name="_Toc489279867"/>
      <w:r>
        <w:rPr>
          <w:rFonts w:hint="eastAsia" w:ascii="宋体" w:hAnsi="宋体" w:cs="宋体"/>
          <w:szCs w:val="21"/>
        </w:rPr>
        <w:t>2.1  遵守法律</w:t>
      </w:r>
      <w:bookmarkEnd w:id="854"/>
      <w:bookmarkEnd w:id="855"/>
      <w:bookmarkEnd w:id="856"/>
      <w:bookmarkEnd w:id="857"/>
      <w:bookmarkEnd w:id="858"/>
      <w:bookmarkEnd w:id="859"/>
      <w:bookmarkEnd w:id="860"/>
      <w:bookmarkEnd w:id="861"/>
      <w:bookmarkEnd w:id="862"/>
      <w:bookmarkEnd w:id="863"/>
      <w:bookmarkEnd w:id="864"/>
      <w:bookmarkEnd w:id="865"/>
      <w:bookmarkEnd w:id="866"/>
    </w:p>
    <w:p w14:paraId="00C71FD8">
      <w:pPr>
        <w:tabs>
          <w:tab w:val="left" w:pos="3855"/>
        </w:tabs>
        <w:spacing w:line="360" w:lineRule="auto"/>
        <w:rPr>
          <w:rFonts w:ascii="宋体" w:hAnsi="宋体" w:cs="宋体"/>
          <w:szCs w:val="21"/>
        </w:rPr>
      </w:pPr>
      <w:r>
        <w:rPr>
          <w:rFonts w:hint="eastAsia" w:ascii="宋体" w:hAnsi="宋体" w:cs="宋体"/>
          <w:szCs w:val="21"/>
        </w:rPr>
        <w:t>发包人在履行合同过程中应遵守法律，并保证承包人免于承担因发包人违反法律而引起的任何责任。</w:t>
      </w:r>
    </w:p>
    <w:p w14:paraId="721D4030">
      <w:pPr>
        <w:tabs>
          <w:tab w:val="left" w:pos="3855"/>
        </w:tabs>
        <w:spacing w:line="360" w:lineRule="auto"/>
        <w:outlineLvl w:val="1"/>
        <w:rPr>
          <w:rFonts w:ascii="宋体" w:hAnsi="宋体" w:cs="宋体"/>
          <w:szCs w:val="21"/>
        </w:rPr>
      </w:pPr>
      <w:bookmarkStart w:id="867" w:name="_Toc480486911"/>
      <w:bookmarkStart w:id="868" w:name="_Toc483668086"/>
      <w:bookmarkStart w:id="869" w:name="_Toc480486739"/>
      <w:bookmarkStart w:id="870" w:name="_Toc342296277"/>
      <w:bookmarkStart w:id="871" w:name="_Toc152042404"/>
      <w:bookmarkStart w:id="872" w:name="_Toc497456447"/>
      <w:bookmarkStart w:id="873" w:name="_Toc486580057"/>
      <w:bookmarkStart w:id="874" w:name="_Toc179632644"/>
      <w:bookmarkStart w:id="875" w:name="_Toc338944719"/>
      <w:bookmarkStart w:id="876" w:name="_Toc489279868"/>
      <w:bookmarkStart w:id="877" w:name="_Toc152045626"/>
      <w:bookmarkStart w:id="878" w:name="_Toc144974594"/>
      <w:bookmarkStart w:id="879" w:name="_Toc490222502"/>
      <w:r>
        <w:rPr>
          <w:rFonts w:hint="eastAsia" w:ascii="宋体" w:hAnsi="宋体" w:cs="宋体"/>
          <w:szCs w:val="21"/>
        </w:rPr>
        <w:t>2.2  发出开工通知</w:t>
      </w:r>
      <w:bookmarkEnd w:id="867"/>
      <w:bookmarkEnd w:id="868"/>
      <w:bookmarkEnd w:id="869"/>
      <w:bookmarkEnd w:id="870"/>
      <w:bookmarkEnd w:id="871"/>
      <w:bookmarkEnd w:id="872"/>
      <w:bookmarkEnd w:id="873"/>
      <w:bookmarkEnd w:id="874"/>
      <w:bookmarkEnd w:id="875"/>
      <w:bookmarkEnd w:id="876"/>
      <w:bookmarkEnd w:id="877"/>
      <w:bookmarkEnd w:id="878"/>
      <w:bookmarkEnd w:id="879"/>
    </w:p>
    <w:p w14:paraId="67345D69">
      <w:pPr>
        <w:tabs>
          <w:tab w:val="left" w:pos="3855"/>
        </w:tabs>
        <w:spacing w:line="360" w:lineRule="auto"/>
        <w:rPr>
          <w:rFonts w:ascii="宋体" w:hAnsi="宋体" w:cs="宋体"/>
          <w:szCs w:val="21"/>
        </w:rPr>
      </w:pPr>
      <w:r>
        <w:rPr>
          <w:rFonts w:hint="eastAsia" w:ascii="宋体" w:hAnsi="宋体" w:cs="宋体"/>
          <w:szCs w:val="21"/>
        </w:rPr>
        <w:t>发包人应委托监理人按第11.1款的约定向承包人发出开工通知。</w:t>
      </w:r>
    </w:p>
    <w:p w14:paraId="5EF060C8">
      <w:pPr>
        <w:tabs>
          <w:tab w:val="left" w:pos="3855"/>
        </w:tabs>
        <w:spacing w:line="360" w:lineRule="auto"/>
        <w:outlineLvl w:val="1"/>
        <w:rPr>
          <w:rFonts w:ascii="宋体" w:hAnsi="宋体" w:cs="宋体"/>
          <w:szCs w:val="21"/>
        </w:rPr>
      </w:pPr>
      <w:bookmarkStart w:id="880" w:name="_Toc490222503"/>
      <w:bookmarkStart w:id="881" w:name="_Toc486580058"/>
      <w:bookmarkStart w:id="882" w:name="_Toc480486912"/>
      <w:bookmarkStart w:id="883" w:name="_Toc483668087"/>
      <w:bookmarkStart w:id="884" w:name="_Toc489279869"/>
      <w:bookmarkStart w:id="885" w:name="_Toc497456448"/>
      <w:bookmarkStart w:id="886" w:name="_Toc338944720"/>
      <w:bookmarkStart w:id="887" w:name="_Toc480486740"/>
      <w:bookmarkStart w:id="888" w:name="_Toc342296278"/>
      <w:r>
        <w:rPr>
          <w:rFonts w:hint="eastAsia" w:ascii="宋体" w:hAnsi="宋体" w:cs="宋体"/>
          <w:szCs w:val="21"/>
        </w:rPr>
        <w:t>2.3  提供施工场地</w:t>
      </w:r>
      <w:bookmarkEnd w:id="880"/>
      <w:bookmarkEnd w:id="881"/>
      <w:bookmarkEnd w:id="882"/>
      <w:bookmarkEnd w:id="883"/>
      <w:bookmarkEnd w:id="884"/>
      <w:bookmarkEnd w:id="885"/>
      <w:bookmarkEnd w:id="886"/>
      <w:bookmarkEnd w:id="887"/>
      <w:bookmarkEnd w:id="888"/>
    </w:p>
    <w:p w14:paraId="46BDB81D">
      <w:pPr>
        <w:tabs>
          <w:tab w:val="left" w:pos="3855"/>
        </w:tabs>
        <w:spacing w:line="360" w:lineRule="auto"/>
        <w:rPr>
          <w:rFonts w:ascii="宋体" w:hAnsi="宋体" w:cs="宋体"/>
          <w:szCs w:val="21"/>
        </w:rPr>
      </w:pPr>
      <w:r>
        <w:rPr>
          <w:rFonts w:hint="eastAsia" w:ascii="宋体" w:hAnsi="宋体" w:cs="宋体"/>
          <w:szCs w:val="21"/>
        </w:rPr>
        <w:t>发包人应在约定期限前确保施工场地具备施工条件并移交给承包人，具体施工条件在 “技术标准和要求”第一节“一般要求”中约定。发包人最迟应当在移交施工场地的同时向承包人提供施工场地内地下管线和地下设施等有关资料，并保证资料的真实、准确和完整。发包人移交施工场地的期限见合同条款专用部分。</w:t>
      </w:r>
    </w:p>
    <w:p w14:paraId="774D1A1B">
      <w:pPr>
        <w:tabs>
          <w:tab w:val="left" w:pos="3855"/>
        </w:tabs>
        <w:spacing w:line="360" w:lineRule="auto"/>
        <w:outlineLvl w:val="1"/>
        <w:rPr>
          <w:rFonts w:ascii="宋体" w:hAnsi="宋体" w:cs="宋体"/>
          <w:szCs w:val="21"/>
        </w:rPr>
      </w:pPr>
      <w:bookmarkStart w:id="889" w:name="_Toc489279870"/>
      <w:bookmarkStart w:id="890" w:name="_Toc152045628"/>
      <w:bookmarkStart w:id="891" w:name="_Toc480486741"/>
      <w:bookmarkStart w:id="892" w:name="_Toc486580059"/>
      <w:bookmarkStart w:id="893" w:name="_Toc152042406"/>
      <w:bookmarkStart w:id="894" w:name="_Toc342296279"/>
      <w:bookmarkStart w:id="895" w:name="_Toc483668088"/>
      <w:bookmarkStart w:id="896" w:name="_Toc490222504"/>
      <w:bookmarkStart w:id="897" w:name="_Toc338944721"/>
      <w:bookmarkStart w:id="898" w:name="_Toc144974596"/>
      <w:bookmarkStart w:id="899" w:name="_Toc480486913"/>
      <w:bookmarkStart w:id="900" w:name="_Toc497456449"/>
      <w:bookmarkStart w:id="901" w:name="_Toc179632646"/>
      <w:r>
        <w:rPr>
          <w:rFonts w:hint="eastAsia" w:ascii="宋体" w:hAnsi="宋体" w:cs="宋体"/>
          <w:szCs w:val="21"/>
        </w:rPr>
        <w:t>2.4  协助承包人办理证件和批件</w:t>
      </w:r>
      <w:bookmarkEnd w:id="889"/>
      <w:bookmarkEnd w:id="890"/>
      <w:bookmarkEnd w:id="891"/>
      <w:bookmarkEnd w:id="892"/>
      <w:bookmarkEnd w:id="893"/>
      <w:bookmarkEnd w:id="894"/>
      <w:bookmarkEnd w:id="895"/>
      <w:bookmarkEnd w:id="896"/>
      <w:bookmarkEnd w:id="897"/>
      <w:bookmarkEnd w:id="898"/>
      <w:bookmarkEnd w:id="899"/>
      <w:bookmarkEnd w:id="900"/>
      <w:bookmarkEnd w:id="901"/>
    </w:p>
    <w:p w14:paraId="63EF7B63">
      <w:pPr>
        <w:tabs>
          <w:tab w:val="left" w:pos="3855"/>
        </w:tabs>
        <w:spacing w:line="360" w:lineRule="auto"/>
        <w:rPr>
          <w:rFonts w:ascii="宋体" w:hAnsi="宋体" w:cs="宋体"/>
          <w:szCs w:val="21"/>
        </w:rPr>
      </w:pPr>
      <w:r>
        <w:rPr>
          <w:rFonts w:hint="eastAsia" w:ascii="宋体" w:hAnsi="宋体" w:cs="宋体"/>
          <w:szCs w:val="21"/>
        </w:rPr>
        <w:t>发包人应协助承包人办理法律规定的有关施工证件和批件。</w:t>
      </w:r>
    </w:p>
    <w:p w14:paraId="755D6F49">
      <w:pPr>
        <w:tabs>
          <w:tab w:val="left" w:pos="3855"/>
        </w:tabs>
        <w:spacing w:line="360" w:lineRule="auto"/>
        <w:outlineLvl w:val="1"/>
        <w:rPr>
          <w:rFonts w:ascii="宋体" w:hAnsi="宋体" w:cs="宋体"/>
          <w:szCs w:val="21"/>
        </w:rPr>
      </w:pPr>
      <w:bookmarkStart w:id="902" w:name="_Toc480486914"/>
      <w:bookmarkStart w:id="903" w:name="_Toc497456450"/>
      <w:bookmarkStart w:id="904" w:name="_Toc483668089"/>
      <w:bookmarkStart w:id="905" w:name="_Toc480486742"/>
      <w:bookmarkStart w:id="906" w:name="_Toc490222505"/>
      <w:bookmarkStart w:id="907" w:name="_Toc489279871"/>
      <w:bookmarkStart w:id="908" w:name="_Toc342296280"/>
      <w:bookmarkStart w:id="909" w:name="_Toc486580060"/>
      <w:bookmarkStart w:id="910" w:name="_Toc338944722"/>
      <w:r>
        <w:rPr>
          <w:rFonts w:hint="eastAsia" w:ascii="宋体" w:hAnsi="宋体" w:cs="宋体"/>
          <w:szCs w:val="21"/>
        </w:rPr>
        <w:t>2.5  组织设计交底</w:t>
      </w:r>
      <w:bookmarkEnd w:id="902"/>
      <w:bookmarkEnd w:id="903"/>
      <w:bookmarkEnd w:id="904"/>
      <w:bookmarkEnd w:id="905"/>
      <w:bookmarkEnd w:id="906"/>
      <w:bookmarkEnd w:id="907"/>
      <w:bookmarkEnd w:id="908"/>
      <w:bookmarkEnd w:id="909"/>
      <w:bookmarkEnd w:id="910"/>
    </w:p>
    <w:p w14:paraId="1C833A0F">
      <w:pPr>
        <w:tabs>
          <w:tab w:val="left" w:pos="3855"/>
        </w:tabs>
        <w:spacing w:line="360" w:lineRule="auto"/>
        <w:rPr>
          <w:rFonts w:ascii="宋体" w:hAnsi="宋体" w:cs="宋体"/>
          <w:szCs w:val="21"/>
        </w:rPr>
      </w:pPr>
      <w:r>
        <w:rPr>
          <w:rFonts w:hint="eastAsia" w:ascii="宋体" w:hAnsi="宋体" w:cs="宋体"/>
          <w:szCs w:val="21"/>
        </w:rPr>
        <w:t>发包人应根据批准的合同进度计划，组织设计单位向承包人进行设计交底。</w:t>
      </w:r>
    </w:p>
    <w:p w14:paraId="715712B6">
      <w:pPr>
        <w:tabs>
          <w:tab w:val="left" w:pos="3855"/>
        </w:tabs>
        <w:spacing w:line="360" w:lineRule="auto"/>
        <w:rPr>
          <w:rFonts w:ascii="宋体" w:hAnsi="宋体" w:cs="宋体"/>
          <w:szCs w:val="21"/>
        </w:rPr>
      </w:pPr>
      <w:r>
        <w:rPr>
          <w:rFonts w:hint="eastAsia" w:ascii="宋体" w:hAnsi="宋体" w:cs="宋体"/>
          <w:szCs w:val="21"/>
        </w:rPr>
        <w:t>发包人应在第11.1.1项约定的开工日期前，组织设计人向承包人进行合同工程总体设计交底（包括图纸会审）。发包人还应按照合同进度计划中载明的阶段性设计交底时间，组织和安排阶段工程设计交底（包括图纸会审）。承包人应当以书面方式通过监理人向发包人申请增加设计交底，发包人在认为确有必要且条件许可时，应当尽快组织这类设计交底。</w:t>
      </w:r>
    </w:p>
    <w:p w14:paraId="3475B1F9">
      <w:pPr>
        <w:tabs>
          <w:tab w:val="left" w:pos="3855"/>
        </w:tabs>
        <w:spacing w:line="360" w:lineRule="auto"/>
        <w:outlineLvl w:val="1"/>
        <w:rPr>
          <w:rFonts w:ascii="宋体" w:hAnsi="宋体" w:cs="宋体"/>
          <w:szCs w:val="21"/>
        </w:rPr>
      </w:pPr>
      <w:bookmarkStart w:id="911" w:name="_Toc486580061"/>
      <w:bookmarkStart w:id="912" w:name="_Toc342296281"/>
      <w:bookmarkStart w:id="913" w:name="_Toc483668090"/>
      <w:bookmarkStart w:id="914" w:name="_Toc480486915"/>
      <w:bookmarkStart w:id="915" w:name="_Toc480486743"/>
      <w:bookmarkStart w:id="916" w:name="_Toc497456451"/>
      <w:bookmarkStart w:id="917" w:name="_Toc489279872"/>
      <w:bookmarkStart w:id="918" w:name="_Toc490222506"/>
      <w:bookmarkStart w:id="919" w:name="_Toc338944723"/>
      <w:r>
        <w:rPr>
          <w:rFonts w:hint="eastAsia" w:ascii="宋体" w:hAnsi="宋体" w:cs="宋体"/>
          <w:szCs w:val="21"/>
        </w:rPr>
        <w:t>2.6  支付合同价款</w:t>
      </w:r>
      <w:bookmarkEnd w:id="911"/>
      <w:bookmarkEnd w:id="912"/>
      <w:bookmarkEnd w:id="913"/>
      <w:bookmarkEnd w:id="914"/>
      <w:bookmarkEnd w:id="915"/>
      <w:bookmarkEnd w:id="916"/>
      <w:bookmarkEnd w:id="917"/>
      <w:bookmarkEnd w:id="918"/>
      <w:bookmarkEnd w:id="919"/>
    </w:p>
    <w:p w14:paraId="22397FFD">
      <w:pPr>
        <w:tabs>
          <w:tab w:val="left" w:pos="3855"/>
        </w:tabs>
        <w:spacing w:line="360" w:lineRule="auto"/>
        <w:rPr>
          <w:rFonts w:ascii="宋体" w:hAnsi="宋体" w:cs="宋体"/>
          <w:szCs w:val="21"/>
        </w:rPr>
      </w:pPr>
      <w:r>
        <w:rPr>
          <w:rFonts w:hint="eastAsia" w:ascii="宋体" w:hAnsi="宋体" w:cs="宋体"/>
          <w:szCs w:val="21"/>
        </w:rPr>
        <w:t>发包人应按合同约定向承包人及时支付合同价款。</w:t>
      </w:r>
    </w:p>
    <w:p w14:paraId="12EFE148">
      <w:pPr>
        <w:tabs>
          <w:tab w:val="left" w:pos="3855"/>
        </w:tabs>
        <w:spacing w:line="360" w:lineRule="auto"/>
        <w:outlineLvl w:val="1"/>
        <w:rPr>
          <w:rFonts w:ascii="宋体" w:hAnsi="宋体" w:cs="宋体"/>
          <w:szCs w:val="21"/>
        </w:rPr>
      </w:pPr>
      <w:bookmarkStart w:id="920" w:name="_Toc342296282"/>
      <w:bookmarkStart w:id="921" w:name="_Toc480486744"/>
      <w:bookmarkStart w:id="922" w:name="_Toc179632649"/>
      <w:bookmarkStart w:id="923" w:name="_Toc152045631"/>
      <w:bookmarkStart w:id="924" w:name="_Toc144974599"/>
      <w:bookmarkStart w:id="925" w:name="_Toc497456452"/>
      <w:bookmarkStart w:id="926" w:name="_Toc152042409"/>
      <w:bookmarkStart w:id="927" w:name="_Toc338944724"/>
      <w:bookmarkStart w:id="928" w:name="_Toc486580062"/>
      <w:bookmarkStart w:id="929" w:name="_Toc489279873"/>
      <w:bookmarkStart w:id="930" w:name="_Toc480486916"/>
      <w:bookmarkStart w:id="931" w:name="_Toc490222507"/>
      <w:bookmarkStart w:id="932" w:name="_Toc483668091"/>
      <w:r>
        <w:rPr>
          <w:rFonts w:hint="eastAsia" w:ascii="宋体" w:hAnsi="宋体" w:cs="宋体"/>
          <w:szCs w:val="21"/>
        </w:rPr>
        <w:t>2.7  组织竣工验收</w:t>
      </w:r>
      <w:bookmarkEnd w:id="920"/>
      <w:bookmarkEnd w:id="921"/>
      <w:bookmarkEnd w:id="922"/>
      <w:bookmarkEnd w:id="923"/>
      <w:bookmarkEnd w:id="924"/>
      <w:bookmarkEnd w:id="925"/>
      <w:bookmarkEnd w:id="926"/>
      <w:bookmarkEnd w:id="927"/>
      <w:bookmarkEnd w:id="928"/>
      <w:bookmarkEnd w:id="929"/>
      <w:bookmarkEnd w:id="930"/>
      <w:bookmarkEnd w:id="931"/>
      <w:bookmarkEnd w:id="932"/>
    </w:p>
    <w:p w14:paraId="17A24EDE">
      <w:pPr>
        <w:tabs>
          <w:tab w:val="left" w:pos="3855"/>
        </w:tabs>
        <w:spacing w:line="360" w:lineRule="auto"/>
        <w:rPr>
          <w:rFonts w:ascii="宋体" w:hAnsi="宋体" w:cs="宋体"/>
          <w:szCs w:val="21"/>
        </w:rPr>
      </w:pPr>
      <w:r>
        <w:rPr>
          <w:rFonts w:hint="eastAsia" w:ascii="宋体" w:hAnsi="宋体" w:cs="宋体"/>
          <w:szCs w:val="21"/>
        </w:rPr>
        <w:t>发包人应按合同约定及时组织竣工验收。</w:t>
      </w:r>
    </w:p>
    <w:p w14:paraId="48B8479B">
      <w:pPr>
        <w:tabs>
          <w:tab w:val="left" w:pos="3855"/>
        </w:tabs>
        <w:spacing w:line="360" w:lineRule="auto"/>
        <w:outlineLvl w:val="1"/>
        <w:rPr>
          <w:rFonts w:ascii="宋体" w:hAnsi="宋体" w:cs="宋体"/>
          <w:szCs w:val="21"/>
        </w:rPr>
      </w:pPr>
      <w:bookmarkStart w:id="933" w:name="_Toc490222508"/>
      <w:bookmarkStart w:id="934" w:name="_Toc497456453"/>
      <w:bookmarkStart w:id="935" w:name="_Toc489279874"/>
      <w:bookmarkStart w:id="936" w:name="_Toc480486917"/>
      <w:bookmarkStart w:id="937" w:name="_Toc480486745"/>
      <w:bookmarkStart w:id="938" w:name="_Toc483668092"/>
      <w:bookmarkStart w:id="939" w:name="_Toc486580063"/>
      <w:r>
        <w:rPr>
          <w:rFonts w:hint="eastAsia" w:ascii="宋体" w:hAnsi="宋体" w:cs="宋体"/>
          <w:szCs w:val="21"/>
        </w:rPr>
        <w:t>2.8  向承包人提交支付担保</w:t>
      </w:r>
      <w:bookmarkEnd w:id="933"/>
      <w:bookmarkEnd w:id="934"/>
      <w:bookmarkEnd w:id="935"/>
      <w:bookmarkEnd w:id="936"/>
      <w:bookmarkEnd w:id="937"/>
      <w:bookmarkEnd w:id="938"/>
      <w:bookmarkEnd w:id="939"/>
    </w:p>
    <w:p w14:paraId="609FDE8C">
      <w:pPr>
        <w:tabs>
          <w:tab w:val="left" w:pos="3855"/>
        </w:tabs>
        <w:spacing w:line="360" w:lineRule="auto"/>
        <w:rPr>
          <w:rFonts w:ascii="宋体" w:hAnsi="宋体" w:cs="宋体"/>
          <w:szCs w:val="21"/>
        </w:rPr>
      </w:pPr>
      <w:r>
        <w:rPr>
          <w:rFonts w:hint="eastAsia" w:ascii="宋体" w:hAnsi="宋体" w:cs="宋体"/>
          <w:szCs w:val="21"/>
        </w:rPr>
        <w:t>（1）发包人要求承包人提交履约担保的，除合同条款专用部分另有约定的，在承包人按合同条款第4.2款向发包人递交符合合同约定的履约担保的同时，发包人应当按照金额和条件对等的原则和合同文件中规定的格式或者其他经过承包人事先认可的格式向承包人递交一份支付担保。发包人提供支付担保格式见合同条款专用部分附件六。</w:t>
      </w:r>
    </w:p>
    <w:p w14:paraId="70298782">
      <w:pPr>
        <w:tabs>
          <w:tab w:val="left" w:pos="3855"/>
        </w:tabs>
        <w:spacing w:line="360" w:lineRule="auto"/>
        <w:rPr>
          <w:rFonts w:ascii="宋体" w:hAnsi="宋体" w:cs="宋体"/>
          <w:szCs w:val="21"/>
        </w:rPr>
      </w:pPr>
      <w:r>
        <w:rPr>
          <w:rFonts w:hint="eastAsia" w:ascii="宋体" w:hAnsi="宋体" w:cs="宋体"/>
          <w:szCs w:val="21"/>
        </w:rPr>
        <w:t>（2）支付担保的有效期应当自本合同生效之日起至发包人实际支付竣工付款之日止。</w:t>
      </w:r>
    </w:p>
    <w:p w14:paraId="04408097">
      <w:pPr>
        <w:tabs>
          <w:tab w:val="left" w:pos="3855"/>
        </w:tabs>
        <w:spacing w:line="360" w:lineRule="auto"/>
        <w:rPr>
          <w:rFonts w:ascii="宋体" w:hAnsi="宋体" w:cs="宋体"/>
          <w:szCs w:val="21"/>
        </w:rPr>
      </w:pPr>
      <w:r>
        <w:rPr>
          <w:rFonts w:hint="eastAsia" w:ascii="宋体" w:hAnsi="宋体" w:cs="宋体"/>
          <w:szCs w:val="21"/>
        </w:rPr>
        <w:t>（3）发包人无法获得一份不带具体截止日期的履约担保，支付担保中应当约定有“变更工程竣工付款支付日期的，保证期间按照变更后的竣工付款支付日期做相应调整”或类似约定的条款。</w:t>
      </w:r>
    </w:p>
    <w:p w14:paraId="3991C5CC">
      <w:pPr>
        <w:tabs>
          <w:tab w:val="left" w:pos="3855"/>
        </w:tabs>
        <w:spacing w:line="360" w:lineRule="auto"/>
        <w:rPr>
          <w:rFonts w:ascii="宋体" w:hAnsi="宋体" w:cs="宋体"/>
          <w:szCs w:val="21"/>
        </w:rPr>
      </w:pPr>
      <w:r>
        <w:rPr>
          <w:rFonts w:hint="eastAsia" w:ascii="宋体" w:hAnsi="宋体" w:cs="宋体"/>
          <w:szCs w:val="21"/>
        </w:rPr>
        <w:t>（4）支付担保应当在发包人付清竣工付款之日后28天内退还给发包人；承包人不承担发包人与支付担保有关的任何利息或其它类似的费用或者收益。</w:t>
      </w:r>
    </w:p>
    <w:p w14:paraId="285DEBA4">
      <w:pPr>
        <w:tabs>
          <w:tab w:val="left" w:pos="3855"/>
        </w:tabs>
        <w:spacing w:line="360" w:lineRule="auto"/>
        <w:outlineLvl w:val="1"/>
        <w:rPr>
          <w:rFonts w:ascii="宋体" w:hAnsi="宋体" w:cs="宋体"/>
          <w:szCs w:val="21"/>
        </w:rPr>
      </w:pPr>
      <w:bookmarkStart w:id="940" w:name="_Toc483668093"/>
      <w:bookmarkStart w:id="941" w:name="_Toc497456454"/>
      <w:bookmarkStart w:id="942" w:name="_Toc489279875"/>
      <w:bookmarkStart w:id="943" w:name="_Toc486580064"/>
      <w:bookmarkStart w:id="944" w:name="_Toc480486918"/>
      <w:bookmarkStart w:id="945" w:name="_Toc490222509"/>
      <w:bookmarkStart w:id="946" w:name="_Toc480486746"/>
      <w:r>
        <w:rPr>
          <w:rFonts w:hint="eastAsia" w:ascii="宋体" w:hAnsi="宋体" w:cs="宋体"/>
          <w:szCs w:val="21"/>
        </w:rPr>
        <w:t>2.9  办理工程质量监督手续</w:t>
      </w:r>
      <w:bookmarkEnd w:id="940"/>
      <w:bookmarkEnd w:id="941"/>
      <w:bookmarkEnd w:id="942"/>
      <w:bookmarkEnd w:id="943"/>
      <w:bookmarkEnd w:id="944"/>
      <w:bookmarkEnd w:id="945"/>
      <w:bookmarkEnd w:id="946"/>
    </w:p>
    <w:p w14:paraId="3625C5D3">
      <w:pPr>
        <w:tabs>
          <w:tab w:val="left" w:pos="3855"/>
        </w:tabs>
        <w:spacing w:line="360" w:lineRule="auto"/>
        <w:rPr>
          <w:rFonts w:ascii="宋体" w:hAnsi="宋体" w:cs="宋体"/>
          <w:szCs w:val="21"/>
        </w:rPr>
      </w:pPr>
      <w:r>
        <w:rPr>
          <w:rFonts w:hint="eastAsia" w:ascii="宋体" w:hAnsi="宋体" w:cs="宋体"/>
          <w:szCs w:val="21"/>
        </w:rPr>
        <w:t>发包人应按有关规定及时办理工程质量监督手续。</w:t>
      </w:r>
    </w:p>
    <w:p w14:paraId="622301EC">
      <w:pPr>
        <w:tabs>
          <w:tab w:val="left" w:pos="3855"/>
        </w:tabs>
        <w:spacing w:line="360" w:lineRule="auto"/>
        <w:outlineLvl w:val="1"/>
        <w:rPr>
          <w:rFonts w:ascii="宋体" w:hAnsi="宋体" w:cs="宋体"/>
          <w:szCs w:val="21"/>
        </w:rPr>
      </w:pPr>
      <w:bookmarkStart w:id="947" w:name="_Toc489279876"/>
      <w:bookmarkStart w:id="948" w:name="_Toc480486747"/>
      <w:bookmarkStart w:id="949" w:name="_Toc483668094"/>
      <w:bookmarkStart w:id="950" w:name="_Toc486580065"/>
      <w:bookmarkStart w:id="951" w:name="_Toc480486919"/>
      <w:bookmarkStart w:id="952" w:name="_Toc497456455"/>
      <w:bookmarkStart w:id="953" w:name="_Toc490222510"/>
      <w:r>
        <w:rPr>
          <w:rFonts w:hint="eastAsia" w:ascii="宋体" w:hAnsi="宋体" w:cs="宋体"/>
          <w:szCs w:val="21"/>
        </w:rPr>
        <w:t>2.10  环境保护责任</w:t>
      </w:r>
      <w:bookmarkEnd w:id="947"/>
      <w:bookmarkEnd w:id="948"/>
      <w:bookmarkEnd w:id="949"/>
      <w:bookmarkEnd w:id="950"/>
      <w:bookmarkEnd w:id="951"/>
      <w:bookmarkEnd w:id="952"/>
      <w:bookmarkEnd w:id="953"/>
    </w:p>
    <w:p w14:paraId="740DA581">
      <w:pPr>
        <w:tabs>
          <w:tab w:val="left" w:pos="3855"/>
        </w:tabs>
        <w:spacing w:line="360" w:lineRule="auto"/>
        <w:rPr>
          <w:rFonts w:ascii="宋体" w:hAnsi="宋体" w:cs="宋体"/>
          <w:szCs w:val="21"/>
        </w:rPr>
      </w:pPr>
      <w:r>
        <w:rPr>
          <w:rFonts w:hint="eastAsia" w:ascii="宋体" w:hAnsi="宋体" w:cs="宋体"/>
          <w:szCs w:val="21"/>
        </w:rPr>
        <w:t xml:space="preserve"> 发包人对建筑垃圾处理、施工扬尘治理负总责。</w:t>
      </w:r>
    </w:p>
    <w:p w14:paraId="4A933FD9">
      <w:pPr>
        <w:tabs>
          <w:tab w:val="left" w:pos="3855"/>
        </w:tabs>
        <w:spacing w:line="360" w:lineRule="auto"/>
        <w:outlineLvl w:val="1"/>
        <w:rPr>
          <w:rFonts w:ascii="宋体" w:hAnsi="宋体" w:cs="宋体"/>
          <w:szCs w:val="21"/>
        </w:rPr>
      </w:pPr>
      <w:bookmarkStart w:id="954" w:name="_Toc486580066"/>
      <w:bookmarkStart w:id="955" w:name="_Toc480486748"/>
      <w:bookmarkStart w:id="956" w:name="_Toc497456456"/>
      <w:bookmarkStart w:id="957" w:name="_Toc489279877"/>
      <w:bookmarkStart w:id="958" w:name="_Toc490222511"/>
      <w:bookmarkStart w:id="959" w:name="_Toc480486920"/>
      <w:bookmarkStart w:id="960" w:name="_Toc483668095"/>
      <w:r>
        <w:rPr>
          <w:rFonts w:hint="eastAsia" w:ascii="宋体" w:hAnsi="宋体" w:cs="宋体"/>
          <w:szCs w:val="21"/>
        </w:rPr>
        <w:t>2.11  移交工程档案</w:t>
      </w:r>
      <w:bookmarkEnd w:id="954"/>
      <w:bookmarkEnd w:id="955"/>
      <w:bookmarkEnd w:id="956"/>
      <w:bookmarkEnd w:id="957"/>
      <w:bookmarkEnd w:id="958"/>
      <w:bookmarkEnd w:id="959"/>
      <w:bookmarkEnd w:id="960"/>
    </w:p>
    <w:p w14:paraId="0E053696">
      <w:pPr>
        <w:tabs>
          <w:tab w:val="left" w:pos="3855"/>
        </w:tabs>
        <w:spacing w:line="360" w:lineRule="auto"/>
        <w:rPr>
          <w:rFonts w:ascii="宋体" w:hAnsi="宋体" w:cs="宋体"/>
          <w:szCs w:val="21"/>
        </w:rPr>
      </w:pPr>
      <w:r>
        <w:rPr>
          <w:rFonts w:hint="eastAsia" w:ascii="宋体" w:hAnsi="宋体" w:cs="宋体"/>
          <w:szCs w:val="21"/>
        </w:rPr>
        <w:t>发包人应根据建设行政主管部门和（或）城市建设档案管理机构的规定，收集、整理、立卷、归档工程资料，并按规定时间向建设行政主管部门或者城市建设档案管理机构移交规定的工程档案。</w:t>
      </w:r>
    </w:p>
    <w:p w14:paraId="790BC84B">
      <w:pPr>
        <w:tabs>
          <w:tab w:val="left" w:pos="3855"/>
        </w:tabs>
        <w:spacing w:line="360" w:lineRule="auto"/>
        <w:outlineLvl w:val="1"/>
        <w:rPr>
          <w:rFonts w:ascii="宋体" w:hAnsi="宋体" w:cs="宋体"/>
          <w:szCs w:val="21"/>
        </w:rPr>
      </w:pPr>
      <w:bookmarkStart w:id="961" w:name="_Toc497456457"/>
      <w:bookmarkStart w:id="962" w:name="_Toc480486921"/>
      <w:bookmarkStart w:id="963" w:name="_Toc486580067"/>
      <w:bookmarkStart w:id="964" w:name="_Toc483668096"/>
      <w:bookmarkStart w:id="965" w:name="_Toc489279878"/>
      <w:bookmarkStart w:id="966" w:name="_Toc490222512"/>
      <w:bookmarkStart w:id="967" w:name="_Toc480486749"/>
      <w:r>
        <w:rPr>
          <w:rFonts w:hint="eastAsia" w:ascii="宋体" w:hAnsi="宋体" w:cs="宋体"/>
          <w:szCs w:val="21"/>
        </w:rPr>
        <w:t>2.12  批准和确认</w:t>
      </w:r>
      <w:bookmarkEnd w:id="961"/>
      <w:bookmarkEnd w:id="962"/>
      <w:bookmarkEnd w:id="963"/>
      <w:bookmarkEnd w:id="964"/>
      <w:bookmarkEnd w:id="965"/>
      <w:bookmarkEnd w:id="966"/>
      <w:bookmarkEnd w:id="967"/>
    </w:p>
    <w:p w14:paraId="540FE11A">
      <w:pPr>
        <w:tabs>
          <w:tab w:val="left" w:pos="3855"/>
        </w:tabs>
        <w:spacing w:line="360" w:lineRule="auto"/>
        <w:rPr>
          <w:rFonts w:ascii="宋体" w:hAnsi="宋体" w:cs="宋体"/>
          <w:szCs w:val="21"/>
        </w:rPr>
      </w:pPr>
      <w:r>
        <w:rPr>
          <w:rFonts w:hint="eastAsia" w:ascii="宋体" w:hAnsi="宋体" w:cs="宋体"/>
          <w:szCs w:val="21"/>
        </w:rPr>
        <w:t>按照合同约定应当由监理人或者发包人回复、批复、批准和确认，或承包人提出修改意见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003B8607">
      <w:pPr>
        <w:tabs>
          <w:tab w:val="left" w:pos="3855"/>
        </w:tabs>
        <w:spacing w:line="360" w:lineRule="auto"/>
        <w:outlineLvl w:val="1"/>
        <w:rPr>
          <w:rFonts w:ascii="宋体" w:hAnsi="宋体" w:cs="宋体"/>
          <w:szCs w:val="21"/>
        </w:rPr>
      </w:pPr>
      <w:bookmarkStart w:id="968" w:name="_Toc480486750"/>
      <w:bookmarkStart w:id="969" w:name="_Toc486580068"/>
      <w:bookmarkStart w:id="970" w:name="_Toc483668097"/>
      <w:bookmarkStart w:id="971" w:name="_Toc342296283"/>
      <w:bookmarkStart w:id="972" w:name="_Toc480486922"/>
      <w:bookmarkStart w:id="973" w:name="_Toc489279879"/>
      <w:bookmarkStart w:id="974" w:name="_Toc338944725"/>
      <w:bookmarkStart w:id="975" w:name="_Toc490222513"/>
      <w:bookmarkStart w:id="976" w:name="_Toc497456458"/>
      <w:r>
        <w:rPr>
          <w:rFonts w:hint="eastAsia" w:ascii="宋体" w:hAnsi="宋体" w:cs="宋体"/>
          <w:szCs w:val="21"/>
        </w:rPr>
        <w:t>2.13  其他义务</w:t>
      </w:r>
      <w:bookmarkEnd w:id="968"/>
      <w:bookmarkEnd w:id="969"/>
      <w:bookmarkEnd w:id="970"/>
      <w:bookmarkEnd w:id="971"/>
      <w:bookmarkEnd w:id="972"/>
      <w:bookmarkEnd w:id="973"/>
      <w:bookmarkEnd w:id="974"/>
      <w:bookmarkEnd w:id="975"/>
      <w:bookmarkEnd w:id="976"/>
    </w:p>
    <w:p w14:paraId="06917D62">
      <w:pPr>
        <w:tabs>
          <w:tab w:val="left" w:pos="3855"/>
        </w:tabs>
        <w:spacing w:line="360" w:lineRule="auto"/>
        <w:rPr>
          <w:rFonts w:ascii="宋体" w:hAnsi="宋体" w:cs="宋体"/>
          <w:b/>
          <w:szCs w:val="21"/>
        </w:rPr>
      </w:pPr>
      <w:r>
        <w:rPr>
          <w:rFonts w:hint="eastAsia" w:ascii="宋体" w:hAnsi="宋体" w:cs="宋体"/>
          <w:szCs w:val="21"/>
        </w:rPr>
        <w:t>发包人应履行的其他义务见合同条款专用部分。</w:t>
      </w:r>
    </w:p>
    <w:p w14:paraId="1683CCFB">
      <w:pPr>
        <w:tabs>
          <w:tab w:val="left" w:pos="3855"/>
        </w:tabs>
        <w:spacing w:line="360" w:lineRule="auto"/>
        <w:outlineLvl w:val="0"/>
        <w:rPr>
          <w:rFonts w:ascii="宋体" w:hAnsi="宋体" w:cs="宋体"/>
          <w:szCs w:val="21"/>
        </w:rPr>
      </w:pPr>
      <w:bookmarkStart w:id="977" w:name="_Toc490222514"/>
      <w:bookmarkStart w:id="978" w:name="_Toc486580069"/>
      <w:bookmarkStart w:id="979" w:name="_Toc480486751"/>
      <w:bookmarkStart w:id="980" w:name="_Toc483668098"/>
      <w:bookmarkStart w:id="981" w:name="_Toc489279880"/>
      <w:bookmarkStart w:id="982" w:name="_Toc480486923"/>
      <w:bookmarkStart w:id="983" w:name="_Toc342296284"/>
      <w:bookmarkStart w:id="984" w:name="_Toc497456459"/>
      <w:bookmarkStart w:id="985" w:name="_Toc338944726"/>
      <w:r>
        <w:rPr>
          <w:rFonts w:hint="eastAsia" w:ascii="宋体" w:hAnsi="宋体" w:cs="宋体"/>
          <w:szCs w:val="21"/>
        </w:rPr>
        <w:t>3.监理人</w:t>
      </w:r>
      <w:bookmarkEnd w:id="977"/>
      <w:bookmarkEnd w:id="978"/>
      <w:bookmarkEnd w:id="979"/>
      <w:bookmarkEnd w:id="980"/>
      <w:bookmarkEnd w:id="981"/>
      <w:bookmarkEnd w:id="982"/>
      <w:bookmarkEnd w:id="983"/>
      <w:bookmarkEnd w:id="984"/>
      <w:bookmarkEnd w:id="985"/>
    </w:p>
    <w:p w14:paraId="595B79C2">
      <w:pPr>
        <w:tabs>
          <w:tab w:val="left" w:pos="3855"/>
        </w:tabs>
        <w:spacing w:line="360" w:lineRule="auto"/>
        <w:outlineLvl w:val="1"/>
        <w:rPr>
          <w:rFonts w:ascii="宋体" w:hAnsi="宋体" w:cs="宋体"/>
          <w:szCs w:val="21"/>
        </w:rPr>
      </w:pPr>
      <w:bookmarkStart w:id="986" w:name="_Toc490222515"/>
      <w:bookmarkStart w:id="987" w:name="_Toc489279881"/>
      <w:bookmarkStart w:id="988" w:name="_Toc342296285"/>
      <w:bookmarkStart w:id="989" w:name="_Toc338944727"/>
      <w:bookmarkStart w:id="990" w:name="_Toc480486752"/>
      <w:bookmarkStart w:id="991" w:name="_Toc497456460"/>
      <w:bookmarkStart w:id="992" w:name="_Toc486580070"/>
      <w:bookmarkStart w:id="993" w:name="_Toc480486924"/>
      <w:bookmarkStart w:id="994" w:name="_Toc483668099"/>
      <w:r>
        <w:rPr>
          <w:rFonts w:hint="eastAsia" w:ascii="宋体" w:hAnsi="宋体" w:cs="宋体"/>
          <w:szCs w:val="21"/>
        </w:rPr>
        <w:t>3.1  监理人的职责和权力</w:t>
      </w:r>
      <w:bookmarkEnd w:id="986"/>
      <w:bookmarkEnd w:id="987"/>
      <w:bookmarkEnd w:id="988"/>
      <w:bookmarkEnd w:id="989"/>
      <w:bookmarkEnd w:id="990"/>
      <w:bookmarkEnd w:id="991"/>
      <w:bookmarkEnd w:id="992"/>
      <w:bookmarkEnd w:id="993"/>
      <w:bookmarkEnd w:id="994"/>
    </w:p>
    <w:p w14:paraId="255AE075">
      <w:pPr>
        <w:tabs>
          <w:tab w:val="left" w:pos="3855"/>
        </w:tabs>
        <w:spacing w:line="360" w:lineRule="auto"/>
        <w:outlineLvl w:val="2"/>
        <w:rPr>
          <w:rFonts w:ascii="宋体" w:hAnsi="宋体" w:cs="宋体"/>
          <w:szCs w:val="21"/>
        </w:rPr>
      </w:pPr>
      <w:r>
        <w:rPr>
          <w:rFonts w:hint="eastAsia" w:ascii="宋体" w:hAnsi="宋体" w:cs="宋体"/>
          <w:szCs w:val="21"/>
        </w:rPr>
        <w:t>3.1.1  监理人受发包人委托，享有合同约定的权力。监理人在行使某项权力前需要经发包人事先批准，合同条款通用部分没有指明的，应在合同中指明。监理人履行须经发包人批准行使的权力时，应当向承包人出示其行使该权力已经取得发包人批准的文件或者其他合法有效的证明。发包人需批准明确行使的权力见合同条款专用部分。</w:t>
      </w:r>
    </w:p>
    <w:p w14:paraId="2A61A38D">
      <w:pPr>
        <w:tabs>
          <w:tab w:val="left" w:pos="3855"/>
        </w:tabs>
        <w:spacing w:line="360" w:lineRule="auto"/>
        <w:outlineLvl w:val="2"/>
        <w:rPr>
          <w:rFonts w:ascii="宋体" w:hAnsi="宋体" w:cs="宋体"/>
          <w:szCs w:val="21"/>
        </w:rPr>
      </w:pPr>
      <w:r>
        <w:rPr>
          <w:rFonts w:hint="eastAsia" w:ascii="宋体" w:hAnsi="宋体" w:cs="宋体"/>
          <w:szCs w:val="21"/>
        </w:rPr>
        <w:t>3.1.2  监理人发出的任何指示应视为已得到发包人的批准，但监理人无权免除或变更合同约定的发包人和承包人的权利、义务和责任。</w:t>
      </w:r>
    </w:p>
    <w:p w14:paraId="7ECC10CA">
      <w:pPr>
        <w:tabs>
          <w:tab w:val="left" w:pos="3855"/>
        </w:tabs>
        <w:spacing w:line="360" w:lineRule="auto"/>
        <w:outlineLvl w:val="2"/>
        <w:rPr>
          <w:rFonts w:ascii="宋体" w:hAnsi="宋体" w:cs="宋体"/>
          <w:szCs w:val="21"/>
        </w:rPr>
      </w:pPr>
      <w:r>
        <w:rPr>
          <w:rFonts w:hint="eastAsia" w:ascii="宋体" w:hAnsi="宋体" w:cs="宋体"/>
          <w:szCs w:val="21"/>
        </w:rPr>
        <w:t>3.1.3  合同约定应由承包人承担的义务和责任，不因监理人对承包人提交文件的审查或批准，对工程、材料和设备的检查和检验，以及为实施监理作出的指示等职务行为而减轻或解除。</w:t>
      </w:r>
    </w:p>
    <w:p w14:paraId="75AD1AE7">
      <w:pPr>
        <w:tabs>
          <w:tab w:val="left" w:pos="3855"/>
        </w:tabs>
        <w:spacing w:line="360" w:lineRule="auto"/>
        <w:outlineLvl w:val="1"/>
        <w:rPr>
          <w:rFonts w:ascii="宋体" w:hAnsi="宋体" w:cs="宋体"/>
          <w:szCs w:val="21"/>
        </w:rPr>
      </w:pPr>
      <w:bookmarkStart w:id="995" w:name="_Toc497456461"/>
      <w:bookmarkStart w:id="996" w:name="_Toc483668100"/>
      <w:bookmarkStart w:id="997" w:name="_Toc179632653"/>
      <w:bookmarkStart w:id="998" w:name="_Toc489279882"/>
      <w:bookmarkStart w:id="999" w:name="_Toc480486753"/>
      <w:bookmarkStart w:id="1000" w:name="_Toc490222516"/>
      <w:bookmarkStart w:id="1001" w:name="_Toc342296286"/>
      <w:bookmarkStart w:id="1002" w:name="_Toc480486925"/>
      <w:bookmarkStart w:id="1003" w:name="_Toc486580071"/>
      <w:bookmarkStart w:id="1004" w:name="_Toc152042413"/>
      <w:bookmarkStart w:id="1005" w:name="_Toc144974603"/>
      <w:bookmarkStart w:id="1006" w:name="_Toc338944728"/>
      <w:bookmarkStart w:id="1007" w:name="_Toc152045635"/>
      <w:r>
        <w:rPr>
          <w:rFonts w:hint="eastAsia" w:ascii="宋体" w:hAnsi="宋体" w:cs="宋体"/>
          <w:szCs w:val="21"/>
        </w:rPr>
        <w:t>3.2  总监理工程师</w:t>
      </w:r>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0CEE0423">
      <w:pPr>
        <w:tabs>
          <w:tab w:val="left" w:pos="3855"/>
        </w:tabs>
        <w:spacing w:line="360" w:lineRule="auto"/>
        <w:rPr>
          <w:rFonts w:ascii="宋体" w:hAnsi="宋体" w:cs="宋体"/>
          <w:szCs w:val="21"/>
        </w:rPr>
      </w:pPr>
      <w:r>
        <w:rPr>
          <w:rFonts w:hint="eastAsia" w:ascii="宋体" w:hAnsi="宋体" w:cs="宋体"/>
          <w:szCs w:val="21"/>
        </w:rPr>
        <w:t>发包人应在发出开工通知前将总监理工程师的任命通知承包人。总监理工程师更换时，应在调离14天前通知承包人。总监理工程师短期离开施工场地的，应委派代表代行其职责，并通知承包人。</w:t>
      </w:r>
    </w:p>
    <w:p w14:paraId="22215BB4">
      <w:pPr>
        <w:tabs>
          <w:tab w:val="left" w:pos="3855"/>
        </w:tabs>
        <w:spacing w:line="360" w:lineRule="auto"/>
        <w:outlineLvl w:val="1"/>
        <w:rPr>
          <w:rFonts w:ascii="宋体" w:hAnsi="宋体" w:cs="宋体"/>
          <w:szCs w:val="21"/>
        </w:rPr>
      </w:pPr>
      <w:bookmarkStart w:id="1008" w:name="_Toc489279883"/>
      <w:bookmarkStart w:id="1009" w:name="_Toc490222517"/>
      <w:bookmarkStart w:id="1010" w:name="_Toc338944729"/>
      <w:bookmarkStart w:id="1011" w:name="_Toc486580072"/>
      <w:bookmarkStart w:id="1012" w:name="_Toc480486754"/>
      <w:bookmarkStart w:id="1013" w:name="_Toc497456462"/>
      <w:bookmarkStart w:id="1014" w:name="_Toc480486926"/>
      <w:bookmarkStart w:id="1015" w:name="_Toc483668101"/>
      <w:bookmarkStart w:id="1016" w:name="_Toc342296287"/>
      <w:r>
        <w:rPr>
          <w:rFonts w:hint="eastAsia" w:ascii="宋体" w:hAnsi="宋体" w:cs="宋体"/>
          <w:szCs w:val="21"/>
        </w:rPr>
        <w:t>3.3  监理人员</w:t>
      </w:r>
      <w:bookmarkEnd w:id="1008"/>
      <w:bookmarkEnd w:id="1009"/>
      <w:bookmarkEnd w:id="1010"/>
      <w:bookmarkEnd w:id="1011"/>
      <w:bookmarkEnd w:id="1012"/>
      <w:bookmarkEnd w:id="1013"/>
      <w:bookmarkEnd w:id="1014"/>
      <w:bookmarkEnd w:id="1015"/>
      <w:bookmarkEnd w:id="1016"/>
    </w:p>
    <w:p w14:paraId="74C7C993">
      <w:pPr>
        <w:tabs>
          <w:tab w:val="left" w:pos="3855"/>
        </w:tabs>
        <w:spacing w:line="360" w:lineRule="auto"/>
        <w:outlineLvl w:val="2"/>
        <w:rPr>
          <w:rFonts w:ascii="宋体" w:hAnsi="宋体" w:cs="宋体"/>
          <w:szCs w:val="21"/>
        </w:rPr>
      </w:pPr>
      <w:r>
        <w:rPr>
          <w:rFonts w:hint="eastAsia" w:ascii="宋体" w:hAnsi="宋体" w:cs="宋体"/>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F8D0DA8">
      <w:pPr>
        <w:tabs>
          <w:tab w:val="left" w:pos="3855"/>
        </w:tabs>
        <w:spacing w:line="360" w:lineRule="auto"/>
        <w:outlineLvl w:val="2"/>
        <w:rPr>
          <w:rFonts w:ascii="宋体" w:hAnsi="宋体" w:cs="宋体"/>
          <w:szCs w:val="21"/>
        </w:rPr>
      </w:pPr>
      <w:r>
        <w:rPr>
          <w:rFonts w:hint="eastAsia" w:ascii="宋体" w:hAnsi="宋体" w:cs="宋体"/>
          <w:szCs w:val="21"/>
        </w:rPr>
        <w:t>3.3.2  监理人员对承包人的任何工作、工程或其采用的材料和工程设备未在约定的或合理的期限内提出否定意见的，视为已获批准，但不影响监理人在以后拒绝该项工作、工程、材料或工程设备的权利。</w:t>
      </w:r>
    </w:p>
    <w:p w14:paraId="5151A63E">
      <w:pPr>
        <w:tabs>
          <w:tab w:val="left" w:pos="3855"/>
        </w:tabs>
        <w:spacing w:line="360" w:lineRule="auto"/>
        <w:outlineLvl w:val="2"/>
        <w:rPr>
          <w:rFonts w:ascii="宋体" w:hAnsi="宋体" w:cs="宋体"/>
          <w:szCs w:val="21"/>
        </w:rPr>
      </w:pPr>
      <w:r>
        <w:rPr>
          <w:rFonts w:hint="eastAsia" w:ascii="宋体" w:hAnsi="宋体" w:cs="宋体"/>
          <w:szCs w:val="21"/>
        </w:rPr>
        <w:t>3.3.3  承包人对总监理工程师授权的监理人员发出的指示有疑问的，可向总监理工程师提出书面异议，总监理工程师应在48小时内对该指示予以确认、更改或撤销。</w:t>
      </w:r>
    </w:p>
    <w:p w14:paraId="44638BEA">
      <w:pPr>
        <w:tabs>
          <w:tab w:val="left" w:pos="3855"/>
        </w:tabs>
        <w:spacing w:line="360" w:lineRule="auto"/>
        <w:outlineLvl w:val="2"/>
        <w:rPr>
          <w:rFonts w:ascii="宋体" w:hAnsi="宋体" w:cs="宋体"/>
          <w:szCs w:val="21"/>
        </w:rPr>
      </w:pPr>
      <w:r>
        <w:rPr>
          <w:rFonts w:hint="eastAsia" w:ascii="宋体" w:hAnsi="宋体" w:cs="宋体"/>
          <w:szCs w:val="21"/>
        </w:rPr>
        <w:t>3.3.4  总监理工程师不应将合同条款通用部分第3.5款约定应由总监理工程师作出确定的权力授权或者委托给其他监理人员。</w:t>
      </w:r>
    </w:p>
    <w:p w14:paraId="39FB5F5C">
      <w:pPr>
        <w:tabs>
          <w:tab w:val="left" w:pos="3855"/>
        </w:tabs>
        <w:spacing w:line="360" w:lineRule="auto"/>
        <w:outlineLvl w:val="1"/>
        <w:rPr>
          <w:rFonts w:ascii="宋体" w:hAnsi="宋体" w:cs="宋体"/>
          <w:szCs w:val="21"/>
        </w:rPr>
      </w:pPr>
      <w:bookmarkStart w:id="1017" w:name="_Toc483668102"/>
      <w:bookmarkStart w:id="1018" w:name="_Toc489279884"/>
      <w:bookmarkStart w:id="1019" w:name="_Toc480486927"/>
      <w:bookmarkStart w:id="1020" w:name="_Toc342296288"/>
      <w:bookmarkStart w:id="1021" w:name="_Toc497456463"/>
      <w:bookmarkStart w:id="1022" w:name="_Toc486580073"/>
      <w:bookmarkStart w:id="1023" w:name="_Toc480486755"/>
      <w:bookmarkStart w:id="1024" w:name="_Toc490222518"/>
      <w:bookmarkStart w:id="1025" w:name="_Toc338944730"/>
      <w:r>
        <w:rPr>
          <w:rFonts w:hint="eastAsia" w:ascii="宋体" w:hAnsi="宋体" w:cs="宋体"/>
          <w:szCs w:val="21"/>
        </w:rPr>
        <w:t>3.4  监理人的指示</w:t>
      </w:r>
      <w:bookmarkEnd w:id="1017"/>
      <w:bookmarkEnd w:id="1018"/>
      <w:bookmarkEnd w:id="1019"/>
      <w:bookmarkEnd w:id="1020"/>
      <w:bookmarkEnd w:id="1021"/>
      <w:bookmarkEnd w:id="1022"/>
      <w:bookmarkEnd w:id="1023"/>
      <w:bookmarkEnd w:id="1024"/>
      <w:bookmarkEnd w:id="1025"/>
    </w:p>
    <w:p w14:paraId="7B860D9B">
      <w:pPr>
        <w:tabs>
          <w:tab w:val="left" w:pos="3855"/>
        </w:tabs>
        <w:spacing w:line="360" w:lineRule="auto"/>
        <w:outlineLvl w:val="2"/>
        <w:rPr>
          <w:rFonts w:ascii="宋体" w:hAnsi="宋体" w:cs="宋体"/>
          <w:szCs w:val="21"/>
        </w:rPr>
      </w:pPr>
      <w:r>
        <w:rPr>
          <w:rFonts w:hint="eastAsia" w:ascii="宋体" w:hAnsi="宋体" w:cs="宋体"/>
          <w:szCs w:val="21"/>
        </w:rPr>
        <w:t>3.4.1  监理人应按第3.1款的约定向承包人发出指示，监理人的指示应加盖监理人授权的施工场地机构章，并由总监理工程师或总监理工程师按第3.3.1项约定授权的监理人员签字。</w:t>
      </w:r>
    </w:p>
    <w:p w14:paraId="60C4F48F">
      <w:pPr>
        <w:tabs>
          <w:tab w:val="left" w:pos="3855"/>
        </w:tabs>
        <w:spacing w:line="360" w:lineRule="auto"/>
        <w:outlineLvl w:val="2"/>
        <w:rPr>
          <w:rFonts w:ascii="宋体" w:hAnsi="宋体" w:cs="宋体"/>
          <w:szCs w:val="21"/>
        </w:rPr>
      </w:pPr>
      <w:r>
        <w:rPr>
          <w:rFonts w:hint="eastAsia" w:ascii="宋体" w:hAnsi="宋体" w:cs="宋体"/>
          <w:szCs w:val="21"/>
        </w:rPr>
        <w:t>3.4.2  承包人收到监理人按第3.4.1项作出的指示后，应遵照执行。指示构成变更的，应按第15条处理。</w:t>
      </w:r>
    </w:p>
    <w:p w14:paraId="7EE6F886">
      <w:pPr>
        <w:tabs>
          <w:tab w:val="left" w:pos="3855"/>
        </w:tabs>
        <w:spacing w:line="360" w:lineRule="auto"/>
        <w:outlineLvl w:val="2"/>
        <w:rPr>
          <w:rFonts w:ascii="宋体" w:hAnsi="宋体" w:cs="宋体"/>
          <w:szCs w:val="21"/>
        </w:rPr>
      </w:pPr>
      <w:r>
        <w:rPr>
          <w:rFonts w:hint="eastAsia" w:ascii="宋体" w:hAnsi="宋体" w:cs="宋体"/>
          <w:szCs w:val="21"/>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7DD92011">
      <w:pPr>
        <w:tabs>
          <w:tab w:val="left" w:pos="3855"/>
        </w:tabs>
        <w:spacing w:line="360" w:lineRule="auto"/>
        <w:outlineLvl w:val="2"/>
        <w:rPr>
          <w:rFonts w:ascii="宋体" w:hAnsi="宋体" w:cs="宋体"/>
          <w:szCs w:val="21"/>
        </w:rPr>
      </w:pPr>
      <w:r>
        <w:rPr>
          <w:rFonts w:hint="eastAsia" w:ascii="宋体" w:hAnsi="宋体" w:cs="宋体"/>
          <w:szCs w:val="21"/>
        </w:rPr>
        <w:t>3.4.4  除合同另有约定外，承包人只从总监理工程师或按第3.3.1项被授权的监理人员处取得指示。</w:t>
      </w:r>
    </w:p>
    <w:p w14:paraId="0DB021E4">
      <w:pPr>
        <w:tabs>
          <w:tab w:val="left" w:pos="3855"/>
        </w:tabs>
        <w:spacing w:line="360" w:lineRule="auto"/>
        <w:outlineLvl w:val="2"/>
        <w:rPr>
          <w:rFonts w:ascii="宋体" w:hAnsi="宋体" w:cs="宋体"/>
          <w:szCs w:val="21"/>
        </w:rPr>
      </w:pPr>
      <w:r>
        <w:rPr>
          <w:rFonts w:hint="eastAsia" w:ascii="宋体" w:hAnsi="宋体" w:cs="宋体"/>
          <w:szCs w:val="21"/>
        </w:rPr>
        <w:t xml:space="preserve">3.4.5  由于监理人未能按合同约定发出指示、指示延误或指示错误而导致承包人费用增加和（或）工期延误的，由发包人承担赔偿责任。 </w:t>
      </w:r>
    </w:p>
    <w:p w14:paraId="3910E917">
      <w:pPr>
        <w:tabs>
          <w:tab w:val="left" w:pos="3855"/>
        </w:tabs>
        <w:spacing w:line="360" w:lineRule="auto"/>
        <w:outlineLvl w:val="1"/>
        <w:rPr>
          <w:rFonts w:ascii="宋体" w:hAnsi="宋体" w:cs="宋体"/>
          <w:szCs w:val="21"/>
        </w:rPr>
      </w:pPr>
      <w:bookmarkStart w:id="1026" w:name="_Toc480486928"/>
      <w:bookmarkStart w:id="1027" w:name="_Toc486580074"/>
      <w:bookmarkStart w:id="1028" w:name="_Toc179632656"/>
      <w:bookmarkStart w:id="1029" w:name="_Toc342296289"/>
      <w:bookmarkStart w:id="1030" w:name="_Toc144974606"/>
      <w:bookmarkStart w:id="1031" w:name="_Toc490222519"/>
      <w:bookmarkStart w:id="1032" w:name="_Toc480486756"/>
      <w:bookmarkStart w:id="1033" w:name="_Toc152042416"/>
      <w:bookmarkStart w:id="1034" w:name="_Toc489279885"/>
      <w:bookmarkStart w:id="1035" w:name="_Toc497456464"/>
      <w:bookmarkStart w:id="1036" w:name="_Toc483668103"/>
      <w:bookmarkStart w:id="1037" w:name="_Toc338944731"/>
      <w:bookmarkStart w:id="1038" w:name="_Toc152045638"/>
      <w:r>
        <w:rPr>
          <w:rFonts w:hint="eastAsia" w:ascii="宋体" w:hAnsi="宋体" w:cs="宋体"/>
          <w:szCs w:val="21"/>
        </w:rPr>
        <w:t>3.5  商定或确定</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58CAF936">
      <w:pPr>
        <w:tabs>
          <w:tab w:val="left" w:pos="3855"/>
        </w:tabs>
        <w:spacing w:line="360" w:lineRule="auto"/>
        <w:outlineLvl w:val="2"/>
        <w:rPr>
          <w:rFonts w:ascii="宋体" w:hAnsi="宋体" w:cs="宋体"/>
          <w:szCs w:val="21"/>
        </w:rPr>
      </w:pPr>
      <w:r>
        <w:rPr>
          <w:rFonts w:hint="eastAsia" w:ascii="宋体" w:hAnsi="宋体" w:cs="宋体"/>
          <w:szCs w:val="21"/>
        </w:rPr>
        <w:t>3.5.1  总监理工程师应按照本款对任何事项进行商定或确定时，总监理工程师应与合同当事人协商，尽量达成一致。不能达成一致的，总监理工程师应认真研究后审慎确定。</w:t>
      </w:r>
    </w:p>
    <w:p w14:paraId="7DC76EFF">
      <w:pPr>
        <w:tabs>
          <w:tab w:val="left" w:pos="3855"/>
        </w:tabs>
        <w:spacing w:line="360" w:lineRule="auto"/>
        <w:outlineLvl w:val="2"/>
        <w:rPr>
          <w:rFonts w:ascii="宋体" w:hAnsi="宋体" w:cs="宋体"/>
          <w:szCs w:val="21"/>
        </w:rPr>
      </w:pPr>
      <w:r>
        <w:rPr>
          <w:rFonts w:hint="eastAsia" w:ascii="宋体" w:hAnsi="宋体" w:cs="宋体"/>
          <w:szCs w:val="21"/>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需要作出修改的，按修改后的结果执行。</w:t>
      </w:r>
    </w:p>
    <w:p w14:paraId="66FA196E">
      <w:pPr>
        <w:tabs>
          <w:tab w:val="left" w:pos="3855"/>
        </w:tabs>
        <w:spacing w:line="360" w:lineRule="auto"/>
        <w:outlineLvl w:val="1"/>
        <w:rPr>
          <w:rFonts w:ascii="宋体" w:hAnsi="宋体" w:cs="宋体"/>
          <w:szCs w:val="21"/>
        </w:rPr>
      </w:pPr>
      <w:bookmarkStart w:id="1039" w:name="_Toc342296432"/>
      <w:bookmarkStart w:id="1040" w:name="_Toc476479320"/>
      <w:bookmarkStart w:id="1041" w:name="_Toc490222520"/>
      <w:bookmarkStart w:id="1042" w:name="_Toc486580075"/>
      <w:bookmarkStart w:id="1043" w:name="_Toc241459673"/>
      <w:bookmarkStart w:id="1044" w:name="_Toc480486757"/>
      <w:bookmarkStart w:id="1045" w:name="_Toc489279886"/>
      <w:bookmarkStart w:id="1046" w:name="_Toc483668104"/>
      <w:bookmarkStart w:id="1047" w:name="_Toc497456465"/>
      <w:bookmarkStart w:id="1048" w:name="_Toc480486929"/>
      <w:r>
        <w:rPr>
          <w:rFonts w:hint="eastAsia" w:ascii="宋体" w:hAnsi="宋体" w:cs="宋体"/>
          <w:szCs w:val="21"/>
        </w:rPr>
        <w:t>3.6  监理人的宽恕</w:t>
      </w:r>
      <w:bookmarkEnd w:id="1039"/>
      <w:bookmarkEnd w:id="1040"/>
      <w:bookmarkEnd w:id="1041"/>
      <w:bookmarkEnd w:id="1042"/>
      <w:bookmarkEnd w:id="1043"/>
      <w:bookmarkEnd w:id="1044"/>
      <w:bookmarkEnd w:id="1045"/>
      <w:bookmarkEnd w:id="1046"/>
      <w:bookmarkEnd w:id="1047"/>
      <w:bookmarkEnd w:id="1048"/>
    </w:p>
    <w:p w14:paraId="23AE8746">
      <w:pPr>
        <w:tabs>
          <w:tab w:val="left" w:pos="3855"/>
        </w:tabs>
        <w:spacing w:line="360" w:lineRule="auto"/>
        <w:rPr>
          <w:rFonts w:ascii="宋体" w:hAnsi="宋体" w:cs="宋体"/>
          <w:szCs w:val="21"/>
        </w:rPr>
      </w:pPr>
      <w:r>
        <w:rPr>
          <w:rFonts w:hint="eastAsia" w:ascii="宋体" w:hAnsi="宋体" w:cs="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79885AFF">
      <w:pPr>
        <w:tabs>
          <w:tab w:val="left" w:pos="3855"/>
        </w:tabs>
        <w:spacing w:line="360" w:lineRule="auto"/>
        <w:outlineLvl w:val="0"/>
        <w:rPr>
          <w:rFonts w:ascii="宋体" w:hAnsi="宋体" w:cs="宋体"/>
          <w:szCs w:val="21"/>
        </w:rPr>
      </w:pPr>
      <w:bookmarkStart w:id="1049" w:name="_Toc483668105"/>
      <w:bookmarkStart w:id="1050" w:name="_Toc497456466"/>
      <w:bookmarkStart w:id="1051" w:name="_Toc490222521"/>
      <w:bookmarkStart w:id="1052" w:name="_Toc489279887"/>
      <w:bookmarkStart w:id="1053" w:name="_Toc342296290"/>
      <w:bookmarkStart w:id="1054" w:name="_Toc480486930"/>
      <w:bookmarkStart w:id="1055" w:name="_Toc338944732"/>
      <w:bookmarkStart w:id="1056" w:name="_Toc486580076"/>
      <w:bookmarkStart w:id="1057" w:name="_Toc480486758"/>
      <w:r>
        <w:rPr>
          <w:rFonts w:hint="eastAsia" w:ascii="宋体" w:hAnsi="宋体" w:cs="宋体"/>
          <w:szCs w:val="21"/>
        </w:rPr>
        <w:t>4.承包人</w:t>
      </w:r>
      <w:bookmarkEnd w:id="1049"/>
      <w:bookmarkEnd w:id="1050"/>
      <w:bookmarkEnd w:id="1051"/>
      <w:bookmarkEnd w:id="1052"/>
      <w:bookmarkEnd w:id="1053"/>
      <w:bookmarkEnd w:id="1054"/>
      <w:bookmarkEnd w:id="1055"/>
      <w:bookmarkEnd w:id="1056"/>
      <w:bookmarkEnd w:id="1057"/>
    </w:p>
    <w:p w14:paraId="7F17EF48">
      <w:pPr>
        <w:tabs>
          <w:tab w:val="left" w:pos="3855"/>
        </w:tabs>
        <w:spacing w:line="360" w:lineRule="auto"/>
        <w:outlineLvl w:val="1"/>
        <w:rPr>
          <w:rFonts w:ascii="宋体" w:hAnsi="宋体" w:cs="宋体"/>
          <w:szCs w:val="21"/>
        </w:rPr>
      </w:pPr>
      <w:bookmarkStart w:id="1058" w:name="_Toc483668106"/>
      <w:bookmarkStart w:id="1059" w:name="_Toc490222522"/>
      <w:bookmarkStart w:id="1060" w:name="_Toc480486931"/>
      <w:bookmarkStart w:id="1061" w:name="_Toc338944733"/>
      <w:bookmarkStart w:id="1062" w:name="_Toc497456467"/>
      <w:bookmarkStart w:id="1063" w:name="_Toc489279888"/>
      <w:bookmarkStart w:id="1064" w:name="_Toc342296291"/>
      <w:bookmarkStart w:id="1065" w:name="_Toc486580077"/>
      <w:bookmarkStart w:id="1066" w:name="_Toc480486759"/>
      <w:r>
        <w:rPr>
          <w:rFonts w:hint="eastAsia" w:ascii="宋体" w:hAnsi="宋体" w:cs="宋体"/>
          <w:szCs w:val="21"/>
        </w:rPr>
        <w:t>4.1  承包人的一般义务</w:t>
      </w:r>
      <w:bookmarkEnd w:id="1058"/>
      <w:bookmarkEnd w:id="1059"/>
      <w:bookmarkEnd w:id="1060"/>
      <w:bookmarkEnd w:id="1061"/>
      <w:bookmarkEnd w:id="1062"/>
      <w:bookmarkEnd w:id="1063"/>
      <w:bookmarkEnd w:id="1064"/>
      <w:bookmarkEnd w:id="1065"/>
      <w:bookmarkEnd w:id="1066"/>
    </w:p>
    <w:p w14:paraId="544386BB">
      <w:pPr>
        <w:tabs>
          <w:tab w:val="left" w:pos="3855"/>
        </w:tabs>
        <w:spacing w:line="360" w:lineRule="auto"/>
        <w:outlineLvl w:val="2"/>
        <w:rPr>
          <w:rFonts w:ascii="宋体" w:hAnsi="宋体" w:cs="宋体"/>
          <w:szCs w:val="21"/>
        </w:rPr>
      </w:pPr>
      <w:r>
        <w:rPr>
          <w:rFonts w:hint="eastAsia" w:ascii="宋体" w:hAnsi="宋体" w:cs="宋体"/>
          <w:szCs w:val="21"/>
        </w:rPr>
        <w:t>4.1.1  遵守法律</w:t>
      </w:r>
    </w:p>
    <w:p w14:paraId="3D948B3A">
      <w:pPr>
        <w:tabs>
          <w:tab w:val="left" w:pos="3855"/>
        </w:tabs>
        <w:spacing w:line="360" w:lineRule="auto"/>
        <w:rPr>
          <w:rFonts w:ascii="宋体" w:hAnsi="宋体" w:cs="宋体"/>
          <w:szCs w:val="21"/>
        </w:rPr>
      </w:pPr>
      <w:r>
        <w:rPr>
          <w:rFonts w:hint="eastAsia" w:ascii="宋体" w:hAnsi="宋体" w:cs="宋体"/>
          <w:szCs w:val="21"/>
        </w:rPr>
        <w:t>承包人在履行合同过程中应遵守法律，并保证发包人免于承担因承包人违反法律而引起的任何责任。</w:t>
      </w:r>
    </w:p>
    <w:p w14:paraId="06ADFB01">
      <w:pPr>
        <w:tabs>
          <w:tab w:val="left" w:pos="3855"/>
        </w:tabs>
        <w:spacing w:line="360" w:lineRule="auto"/>
        <w:outlineLvl w:val="2"/>
        <w:rPr>
          <w:rFonts w:ascii="宋体" w:hAnsi="宋体" w:cs="宋体"/>
          <w:szCs w:val="21"/>
        </w:rPr>
      </w:pPr>
      <w:r>
        <w:rPr>
          <w:rFonts w:hint="eastAsia" w:ascii="宋体" w:hAnsi="宋体" w:cs="宋体"/>
          <w:szCs w:val="21"/>
        </w:rPr>
        <w:t>4.1.2  依法纳税</w:t>
      </w:r>
    </w:p>
    <w:p w14:paraId="5B82FB0D">
      <w:pPr>
        <w:tabs>
          <w:tab w:val="left" w:pos="3855"/>
        </w:tabs>
        <w:spacing w:line="360" w:lineRule="auto"/>
        <w:rPr>
          <w:rFonts w:ascii="宋体" w:hAnsi="宋体" w:cs="宋体"/>
          <w:szCs w:val="21"/>
        </w:rPr>
      </w:pPr>
      <w:r>
        <w:rPr>
          <w:rFonts w:hint="eastAsia" w:ascii="宋体" w:hAnsi="宋体" w:cs="宋体"/>
          <w:szCs w:val="21"/>
        </w:rPr>
        <w:t>承包人应按有关法律规定纳税，应缴纳的税金包括在合同价格内。</w:t>
      </w:r>
    </w:p>
    <w:p w14:paraId="4AE60993">
      <w:pPr>
        <w:tabs>
          <w:tab w:val="left" w:pos="3855"/>
        </w:tabs>
        <w:spacing w:line="360" w:lineRule="auto"/>
        <w:outlineLvl w:val="2"/>
        <w:rPr>
          <w:rFonts w:ascii="宋体" w:hAnsi="宋体" w:cs="宋体"/>
          <w:szCs w:val="21"/>
        </w:rPr>
      </w:pPr>
      <w:r>
        <w:rPr>
          <w:rFonts w:hint="eastAsia" w:ascii="宋体" w:hAnsi="宋体" w:cs="宋体"/>
          <w:szCs w:val="21"/>
        </w:rPr>
        <w:t>4.1.3  完成各项承包工作</w:t>
      </w:r>
    </w:p>
    <w:p w14:paraId="760A1CCC">
      <w:pPr>
        <w:tabs>
          <w:tab w:val="left" w:pos="3855"/>
        </w:tabs>
        <w:spacing w:line="360" w:lineRule="auto"/>
        <w:rPr>
          <w:rFonts w:ascii="宋体" w:hAnsi="宋体" w:cs="宋体"/>
          <w:szCs w:val="21"/>
        </w:rPr>
      </w:pPr>
      <w:r>
        <w:rPr>
          <w:rFonts w:hint="eastAsia" w:ascii="宋体" w:hAnsi="宋体" w:cs="宋体"/>
          <w:szCs w:val="21"/>
        </w:rPr>
        <w:t>（1）承包人应按合同约定以及监理人根据第3.4款作出的指示，实施、完成全部工程，并修补工程中的任何缺陷。除第5.2款约定由发包人提供的材料和工程设备和第6.2款约定由发包人提供的施工设备和临时设施外，承包人应负责提供为完成合同工作所需的劳务、材料、施工设备、工程设备和其他物品，并按照合同约定负责临时设施的设计、建造、运行、维护、管理和拆除工作。</w:t>
      </w:r>
    </w:p>
    <w:p w14:paraId="7CFFBA7D">
      <w:pPr>
        <w:tabs>
          <w:tab w:val="left" w:pos="3855"/>
        </w:tabs>
        <w:spacing w:line="360" w:lineRule="auto"/>
        <w:rPr>
          <w:rFonts w:ascii="宋体" w:hAnsi="宋体" w:cs="宋体"/>
          <w:szCs w:val="21"/>
        </w:rPr>
      </w:pPr>
      <w:r>
        <w:rPr>
          <w:rFonts w:hint="eastAsia" w:ascii="宋体" w:hAnsi="宋体" w:cs="宋体"/>
          <w:szCs w:val="21"/>
        </w:rPr>
        <w:t>（2）承包人还应当依法合规建立施工扬尘综合治理、建筑垃圾、土方和砂石清运与消纳、严禁使用高排放非道路移动机械和行业挥发性有机物治理（如建筑外墙涂装、钢结构等鼓励使用水性漆替代油性漆）等责任制，制定具体的管控机制和实施方案，严格落实。</w:t>
      </w:r>
    </w:p>
    <w:p w14:paraId="79A23B54">
      <w:pPr>
        <w:tabs>
          <w:tab w:val="left" w:pos="3855"/>
        </w:tabs>
        <w:spacing w:line="360" w:lineRule="auto"/>
        <w:outlineLvl w:val="2"/>
        <w:rPr>
          <w:rFonts w:ascii="宋体" w:hAnsi="宋体" w:cs="宋体"/>
          <w:szCs w:val="21"/>
        </w:rPr>
      </w:pPr>
      <w:r>
        <w:rPr>
          <w:rFonts w:hint="eastAsia" w:ascii="宋体" w:hAnsi="宋体" w:cs="宋体"/>
          <w:szCs w:val="21"/>
        </w:rPr>
        <w:t>4.1.4  对施工作业和施工方法的完备性负责</w:t>
      </w:r>
    </w:p>
    <w:p w14:paraId="5FCAF156">
      <w:pPr>
        <w:tabs>
          <w:tab w:val="left" w:pos="3855"/>
        </w:tabs>
        <w:spacing w:line="360" w:lineRule="auto"/>
        <w:rPr>
          <w:rFonts w:ascii="宋体" w:hAnsi="宋体" w:cs="宋体"/>
          <w:szCs w:val="21"/>
        </w:rPr>
      </w:pPr>
      <w:r>
        <w:rPr>
          <w:rFonts w:hint="eastAsia" w:ascii="宋体" w:hAnsi="宋体" w:cs="宋体"/>
          <w:szCs w:val="21"/>
        </w:rPr>
        <w:t>承包人应按合同约定的工作内容和施工进度要求，编制施工组织设计和施工措施计划，并对所有施工作业和施工方法的完备性和安全可靠性负责。</w:t>
      </w:r>
    </w:p>
    <w:p w14:paraId="079958C5">
      <w:pPr>
        <w:tabs>
          <w:tab w:val="left" w:pos="3855"/>
        </w:tabs>
        <w:spacing w:line="360" w:lineRule="auto"/>
        <w:outlineLvl w:val="2"/>
        <w:rPr>
          <w:rFonts w:ascii="宋体" w:hAnsi="宋体" w:cs="宋体"/>
          <w:szCs w:val="21"/>
        </w:rPr>
      </w:pPr>
      <w:r>
        <w:rPr>
          <w:rFonts w:hint="eastAsia" w:ascii="宋体" w:hAnsi="宋体" w:cs="宋体"/>
          <w:szCs w:val="21"/>
        </w:rPr>
        <w:t>4.1.5  保证工程施工和人员的安全</w:t>
      </w:r>
    </w:p>
    <w:p w14:paraId="20EF3FF5">
      <w:pPr>
        <w:tabs>
          <w:tab w:val="left" w:pos="3855"/>
        </w:tabs>
        <w:spacing w:line="360" w:lineRule="auto"/>
        <w:rPr>
          <w:rFonts w:ascii="宋体" w:hAnsi="宋体" w:cs="宋体"/>
          <w:szCs w:val="21"/>
        </w:rPr>
      </w:pPr>
      <w:r>
        <w:rPr>
          <w:rFonts w:hint="eastAsia" w:ascii="宋体" w:hAnsi="宋体" w:cs="宋体"/>
          <w:szCs w:val="21"/>
        </w:rPr>
        <w:t>承包人应按照第9.2款约定采取施工安全措施，确保工程及其人员、材料、设备和设施的安全，防止因工程施工造成的人身伤害和财产损失。</w:t>
      </w:r>
    </w:p>
    <w:p w14:paraId="15754AEF">
      <w:pPr>
        <w:tabs>
          <w:tab w:val="left" w:pos="3855"/>
        </w:tabs>
        <w:spacing w:line="360" w:lineRule="auto"/>
        <w:outlineLvl w:val="2"/>
        <w:rPr>
          <w:rFonts w:ascii="宋体" w:hAnsi="宋体" w:cs="宋体"/>
          <w:szCs w:val="21"/>
        </w:rPr>
      </w:pPr>
      <w:r>
        <w:rPr>
          <w:rFonts w:hint="eastAsia" w:ascii="宋体" w:hAnsi="宋体" w:cs="宋体"/>
          <w:szCs w:val="21"/>
        </w:rPr>
        <w:t>4.1.6  负责施工场地及其周边环境与生态的保护工作</w:t>
      </w:r>
    </w:p>
    <w:p w14:paraId="4FC87DC0">
      <w:pPr>
        <w:tabs>
          <w:tab w:val="left" w:pos="3855"/>
        </w:tabs>
        <w:spacing w:line="360" w:lineRule="auto"/>
        <w:rPr>
          <w:rFonts w:ascii="宋体" w:hAnsi="宋体" w:cs="宋体"/>
          <w:szCs w:val="21"/>
        </w:rPr>
      </w:pPr>
      <w:r>
        <w:rPr>
          <w:rFonts w:hint="eastAsia" w:ascii="宋体" w:hAnsi="宋体" w:cs="宋体"/>
          <w:szCs w:val="21"/>
        </w:rPr>
        <w:t>承包人应按照第9.4款约定负责施工场地及其周边环境与生态的保护工作。</w:t>
      </w:r>
    </w:p>
    <w:p w14:paraId="598D212A">
      <w:pPr>
        <w:tabs>
          <w:tab w:val="left" w:pos="3855"/>
        </w:tabs>
        <w:spacing w:line="360" w:lineRule="auto"/>
        <w:outlineLvl w:val="2"/>
        <w:rPr>
          <w:rFonts w:ascii="宋体" w:hAnsi="宋体" w:cs="宋体"/>
          <w:szCs w:val="21"/>
        </w:rPr>
      </w:pPr>
      <w:r>
        <w:rPr>
          <w:rFonts w:hint="eastAsia" w:ascii="宋体" w:hAnsi="宋体" w:cs="宋体"/>
          <w:szCs w:val="21"/>
        </w:rPr>
        <w:t>4.1.7  避免施工对公众与他人的利益造成损害</w:t>
      </w:r>
    </w:p>
    <w:p w14:paraId="163E301C">
      <w:pPr>
        <w:tabs>
          <w:tab w:val="left" w:pos="3855"/>
        </w:tabs>
        <w:spacing w:line="360" w:lineRule="auto"/>
        <w:rPr>
          <w:rFonts w:ascii="宋体" w:hAnsi="宋体" w:cs="宋体"/>
          <w:szCs w:val="21"/>
        </w:rPr>
      </w:pPr>
      <w:r>
        <w:rPr>
          <w:rFonts w:hint="eastAsia" w:ascii="宋体" w:hAnsi="宋体" w:cs="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AC87291">
      <w:pPr>
        <w:tabs>
          <w:tab w:val="left" w:pos="3855"/>
        </w:tabs>
        <w:spacing w:line="360" w:lineRule="auto"/>
        <w:outlineLvl w:val="2"/>
        <w:rPr>
          <w:rFonts w:ascii="宋体" w:hAnsi="宋体" w:cs="宋体"/>
          <w:szCs w:val="21"/>
        </w:rPr>
      </w:pPr>
      <w:r>
        <w:rPr>
          <w:rFonts w:hint="eastAsia" w:ascii="宋体" w:hAnsi="宋体" w:cs="宋体"/>
          <w:szCs w:val="21"/>
        </w:rPr>
        <w:t>4.1.8  为他人提供方便</w:t>
      </w:r>
    </w:p>
    <w:p w14:paraId="26E0210F">
      <w:pPr>
        <w:tabs>
          <w:tab w:val="left" w:pos="3855"/>
        </w:tabs>
        <w:spacing w:line="360" w:lineRule="auto"/>
        <w:rPr>
          <w:rFonts w:ascii="宋体" w:hAnsi="宋体" w:cs="宋体"/>
          <w:szCs w:val="21"/>
        </w:rPr>
      </w:pPr>
      <w:r>
        <w:rPr>
          <w:rFonts w:hint="eastAsia" w:ascii="宋体" w:hAnsi="宋体" w:cs="宋体"/>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14:paraId="7F610401">
      <w:pPr>
        <w:tabs>
          <w:tab w:val="left" w:pos="3855"/>
        </w:tabs>
        <w:spacing w:line="360" w:lineRule="auto"/>
        <w:rPr>
          <w:rFonts w:ascii="宋体" w:hAnsi="宋体" w:cs="宋体"/>
          <w:szCs w:val="21"/>
        </w:rPr>
      </w:pPr>
      <w:r>
        <w:rPr>
          <w:rFonts w:hint="eastAsia" w:ascii="宋体" w:hAnsi="宋体" w:cs="宋体"/>
          <w:szCs w:val="21"/>
        </w:rPr>
        <w:t>（2）承包人还应按照监理人指示为独立承包人以外的他人在施工场地或者附近实施与合同工程有关的其他工作提供可能的条件，可能发生费用由监理人按合同条款通用部分第3.5款商定或者确定。</w:t>
      </w:r>
    </w:p>
    <w:p w14:paraId="47E3861C">
      <w:pPr>
        <w:tabs>
          <w:tab w:val="left" w:pos="3855"/>
        </w:tabs>
        <w:spacing w:line="360" w:lineRule="auto"/>
        <w:outlineLvl w:val="2"/>
        <w:rPr>
          <w:rFonts w:ascii="宋体" w:hAnsi="宋体" w:cs="宋体"/>
          <w:szCs w:val="21"/>
        </w:rPr>
      </w:pPr>
      <w:r>
        <w:rPr>
          <w:rFonts w:hint="eastAsia" w:ascii="宋体" w:hAnsi="宋体" w:cs="宋体"/>
          <w:szCs w:val="21"/>
        </w:rPr>
        <w:t>4.1.9  工程的维护和照管</w:t>
      </w:r>
    </w:p>
    <w:p w14:paraId="7E9CC1CD">
      <w:pPr>
        <w:tabs>
          <w:tab w:val="left" w:pos="3855"/>
        </w:tabs>
        <w:spacing w:line="360" w:lineRule="auto"/>
        <w:rPr>
          <w:rFonts w:ascii="宋体" w:hAnsi="宋体" w:cs="宋体"/>
          <w:szCs w:val="21"/>
        </w:rPr>
      </w:pPr>
      <w:r>
        <w:rPr>
          <w:rFonts w:hint="eastAsia" w:ascii="宋体" w:hAnsi="宋体" w:cs="宋体"/>
          <w:szCs w:val="21"/>
        </w:rPr>
        <w:t>工程接收证书颁发前，承包人应负责照管和维护工程。工程接收证书颁发时尚有部分未竣工工程的，承包人还应负责该未竣工工程的照管和维护工作，直至竣工后移交给发包人为止。</w:t>
      </w:r>
    </w:p>
    <w:p w14:paraId="5EC3C94F">
      <w:pPr>
        <w:tabs>
          <w:tab w:val="left" w:pos="3855"/>
        </w:tabs>
        <w:spacing w:line="360" w:lineRule="auto"/>
        <w:outlineLvl w:val="2"/>
        <w:rPr>
          <w:rFonts w:ascii="宋体" w:hAnsi="宋体" w:cs="宋体"/>
          <w:szCs w:val="21"/>
        </w:rPr>
      </w:pPr>
      <w:r>
        <w:rPr>
          <w:rFonts w:hint="eastAsia" w:ascii="宋体" w:hAnsi="宋体" w:cs="宋体"/>
          <w:szCs w:val="21"/>
        </w:rPr>
        <w:t xml:space="preserve">4.1.10  承包人的设计工作 </w:t>
      </w:r>
    </w:p>
    <w:p w14:paraId="180ED503">
      <w:pPr>
        <w:tabs>
          <w:tab w:val="left" w:pos="3855"/>
        </w:tabs>
        <w:spacing w:line="360" w:lineRule="auto"/>
        <w:rPr>
          <w:rFonts w:ascii="宋体" w:hAnsi="宋体" w:cs="宋体"/>
          <w:szCs w:val="21"/>
        </w:rPr>
      </w:pPr>
      <w:r>
        <w:rPr>
          <w:rFonts w:hint="eastAsia" w:ascii="宋体" w:hAnsi="宋体" w:cs="宋体"/>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1.6.2项约定的承包人提供的文件，承包人应按照合同条款专用部分第1.6.2项约定的期限和数量提交，由此发生的费用被认为已经包括在承包人的签约合同价（投标总报价）中。承包人承担的施工图设计或与工程配套的设计工作内容见合同条款专用部分。</w:t>
      </w:r>
    </w:p>
    <w:p w14:paraId="0C0E8A7E">
      <w:pPr>
        <w:tabs>
          <w:tab w:val="left" w:pos="3855"/>
        </w:tabs>
        <w:spacing w:line="360" w:lineRule="auto"/>
        <w:outlineLvl w:val="2"/>
        <w:rPr>
          <w:rFonts w:ascii="宋体" w:hAnsi="宋体" w:cs="宋体"/>
          <w:szCs w:val="21"/>
        </w:rPr>
      </w:pPr>
      <w:r>
        <w:rPr>
          <w:rFonts w:hint="eastAsia" w:ascii="宋体" w:hAnsi="宋体" w:cs="宋体"/>
          <w:szCs w:val="21"/>
        </w:rPr>
        <w:t>4.1.11  农民工工资保证金</w:t>
      </w:r>
    </w:p>
    <w:p w14:paraId="24E3B24E">
      <w:pPr>
        <w:tabs>
          <w:tab w:val="left" w:pos="3855"/>
        </w:tabs>
        <w:spacing w:line="360" w:lineRule="auto"/>
        <w:rPr>
          <w:rFonts w:ascii="宋体" w:hAnsi="宋体" w:cs="宋体"/>
          <w:szCs w:val="21"/>
        </w:rPr>
      </w:pPr>
      <w:r>
        <w:rPr>
          <w:rFonts w:hint="eastAsia" w:ascii="宋体" w:hAnsi="宋体" w:cs="宋体"/>
          <w:szCs w:val="21"/>
        </w:rPr>
        <w:t>承包人应在银行设立工资保证金专用账户，专项用于发生欠薪时支付农民工工资的应急保障。账户内资金启用应当经建设主管部门和劳动保障行政部门批准。</w:t>
      </w:r>
    </w:p>
    <w:p w14:paraId="4E3C2C75">
      <w:pPr>
        <w:tabs>
          <w:tab w:val="left" w:pos="3855"/>
        </w:tabs>
        <w:spacing w:line="360" w:lineRule="auto"/>
        <w:outlineLvl w:val="2"/>
        <w:rPr>
          <w:rFonts w:ascii="宋体" w:hAnsi="宋体" w:cs="宋体"/>
          <w:szCs w:val="21"/>
        </w:rPr>
      </w:pPr>
      <w:r>
        <w:rPr>
          <w:rFonts w:hint="eastAsia" w:ascii="宋体" w:hAnsi="宋体" w:cs="宋体"/>
          <w:szCs w:val="21"/>
        </w:rPr>
        <w:t>4.1.12  其他义务</w:t>
      </w:r>
    </w:p>
    <w:p w14:paraId="75826156">
      <w:pPr>
        <w:tabs>
          <w:tab w:val="left" w:pos="3855"/>
        </w:tabs>
        <w:spacing w:line="360" w:lineRule="auto"/>
        <w:rPr>
          <w:rFonts w:ascii="宋体" w:hAnsi="宋体" w:cs="宋体"/>
          <w:szCs w:val="21"/>
        </w:rPr>
      </w:pPr>
      <w:r>
        <w:rPr>
          <w:rFonts w:hint="eastAsia" w:ascii="宋体" w:hAnsi="宋体" w:cs="宋体"/>
          <w:szCs w:val="21"/>
        </w:rPr>
        <w:t>承包人应履行的其他义务见合同条款专用部分。</w:t>
      </w:r>
    </w:p>
    <w:p w14:paraId="25DD2278">
      <w:pPr>
        <w:tabs>
          <w:tab w:val="left" w:pos="3855"/>
        </w:tabs>
        <w:spacing w:line="360" w:lineRule="auto"/>
        <w:outlineLvl w:val="1"/>
        <w:rPr>
          <w:rFonts w:ascii="宋体" w:hAnsi="宋体" w:cs="宋体"/>
          <w:szCs w:val="21"/>
        </w:rPr>
      </w:pPr>
      <w:bookmarkStart w:id="1067" w:name="_Toc144974609"/>
      <w:bookmarkStart w:id="1068" w:name="_Toc152042419"/>
      <w:bookmarkStart w:id="1069" w:name="_Toc342296292"/>
      <w:bookmarkStart w:id="1070" w:name="_Toc152045641"/>
      <w:bookmarkStart w:id="1071" w:name="_Toc179632659"/>
      <w:bookmarkStart w:id="1072" w:name="_Toc338944734"/>
      <w:bookmarkStart w:id="1073" w:name="_Toc480486932"/>
      <w:bookmarkStart w:id="1074" w:name="_Toc497456468"/>
      <w:bookmarkStart w:id="1075" w:name="_Toc483668107"/>
      <w:bookmarkStart w:id="1076" w:name="_Toc489279889"/>
      <w:bookmarkStart w:id="1077" w:name="_Toc480486760"/>
      <w:bookmarkStart w:id="1078" w:name="_Toc490222523"/>
      <w:bookmarkStart w:id="1079" w:name="_Toc486580078"/>
      <w:r>
        <w:rPr>
          <w:rFonts w:hint="eastAsia" w:ascii="宋体" w:hAnsi="宋体" w:cs="宋体"/>
          <w:szCs w:val="21"/>
        </w:rPr>
        <w:t xml:space="preserve">4.2 </w:t>
      </w:r>
      <w:bookmarkEnd w:id="1067"/>
      <w:bookmarkEnd w:id="1068"/>
      <w:bookmarkEnd w:id="1069"/>
      <w:bookmarkEnd w:id="1070"/>
      <w:bookmarkEnd w:id="1071"/>
      <w:bookmarkEnd w:id="1072"/>
      <w:r>
        <w:rPr>
          <w:rFonts w:hint="eastAsia" w:ascii="宋体" w:hAnsi="宋体" w:cs="宋体"/>
          <w:szCs w:val="21"/>
        </w:rPr>
        <w:t xml:space="preserve"> 履约担保</w:t>
      </w:r>
      <w:bookmarkEnd w:id="1073"/>
      <w:bookmarkEnd w:id="1074"/>
      <w:bookmarkEnd w:id="1075"/>
      <w:bookmarkEnd w:id="1076"/>
      <w:bookmarkEnd w:id="1077"/>
      <w:bookmarkEnd w:id="1078"/>
      <w:bookmarkEnd w:id="1079"/>
    </w:p>
    <w:p w14:paraId="2F8023BF">
      <w:pPr>
        <w:tabs>
          <w:tab w:val="left" w:pos="3855"/>
        </w:tabs>
        <w:spacing w:line="360" w:lineRule="auto"/>
        <w:outlineLvl w:val="2"/>
        <w:rPr>
          <w:rFonts w:ascii="宋体" w:hAnsi="宋体" w:cs="宋体"/>
          <w:szCs w:val="21"/>
        </w:rPr>
      </w:pPr>
      <w:r>
        <w:rPr>
          <w:rFonts w:hint="eastAsia" w:ascii="宋体" w:hAnsi="宋体" w:cs="宋体"/>
          <w:szCs w:val="21"/>
        </w:rPr>
        <w:t>4.2.1  履约担保的格式和金额</w:t>
      </w:r>
    </w:p>
    <w:p w14:paraId="61E81B2B">
      <w:pPr>
        <w:tabs>
          <w:tab w:val="left" w:pos="3855"/>
        </w:tabs>
        <w:spacing w:line="360" w:lineRule="auto"/>
        <w:rPr>
          <w:rFonts w:ascii="宋体" w:hAnsi="宋体" w:cs="宋体"/>
          <w:szCs w:val="21"/>
        </w:rPr>
      </w:pPr>
      <w:r>
        <w:rPr>
          <w:rFonts w:hint="eastAsia" w:ascii="宋体" w:hAnsi="宋体" w:cs="宋体"/>
          <w:szCs w:val="21"/>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14:paraId="20673716">
      <w:pPr>
        <w:tabs>
          <w:tab w:val="left" w:pos="3855"/>
        </w:tabs>
        <w:spacing w:line="360" w:lineRule="auto"/>
        <w:outlineLvl w:val="2"/>
        <w:rPr>
          <w:rFonts w:ascii="宋体" w:hAnsi="宋体" w:cs="宋体"/>
          <w:szCs w:val="21"/>
        </w:rPr>
      </w:pPr>
      <w:r>
        <w:rPr>
          <w:rFonts w:hint="eastAsia" w:ascii="宋体" w:hAnsi="宋体" w:cs="宋体"/>
          <w:szCs w:val="21"/>
        </w:rPr>
        <w:t>4.2.2  履约担保的有效期</w:t>
      </w:r>
    </w:p>
    <w:p w14:paraId="32B90123">
      <w:pPr>
        <w:tabs>
          <w:tab w:val="left" w:pos="3855"/>
        </w:tabs>
        <w:spacing w:line="360" w:lineRule="auto"/>
        <w:rPr>
          <w:rFonts w:ascii="宋体" w:hAnsi="宋体" w:cs="宋体"/>
          <w:szCs w:val="21"/>
        </w:rPr>
      </w:pPr>
      <w:r>
        <w:rPr>
          <w:rFonts w:hint="eastAsia" w:ascii="宋体" w:hAnsi="宋体" w:cs="宋体"/>
          <w:szCs w:val="21"/>
        </w:rPr>
        <w:t>履约担保的有效期应当自本合同生效之日起至发包人签认并由监理人向承包人出具工程接收证书之日止。如果承包人无法获得一份不带具体截止日期的担保，履约担保中就应当约定有“变更工程竣工日期的，保证期间按照变更后的竣工日期做相应调整”或类似约定的条款。</w:t>
      </w:r>
    </w:p>
    <w:p w14:paraId="7E6D73C1">
      <w:pPr>
        <w:tabs>
          <w:tab w:val="left" w:pos="3855"/>
        </w:tabs>
        <w:spacing w:line="360" w:lineRule="auto"/>
        <w:outlineLvl w:val="2"/>
        <w:rPr>
          <w:rFonts w:ascii="宋体" w:hAnsi="宋体" w:cs="宋体"/>
          <w:szCs w:val="21"/>
        </w:rPr>
      </w:pPr>
      <w:r>
        <w:rPr>
          <w:rFonts w:hint="eastAsia" w:ascii="宋体" w:hAnsi="宋体" w:cs="宋体"/>
          <w:szCs w:val="21"/>
        </w:rPr>
        <w:t>4.2.3  履约担保的退还</w:t>
      </w:r>
    </w:p>
    <w:p w14:paraId="47FE9D5D">
      <w:pPr>
        <w:tabs>
          <w:tab w:val="left" w:pos="3855"/>
        </w:tabs>
        <w:spacing w:line="360" w:lineRule="auto"/>
        <w:rPr>
          <w:rFonts w:ascii="宋体" w:hAnsi="宋体" w:cs="宋体"/>
          <w:szCs w:val="21"/>
        </w:rPr>
      </w:pPr>
      <w:r>
        <w:rPr>
          <w:rFonts w:hint="eastAsia" w:ascii="宋体" w:hAnsi="宋体" w:cs="宋体"/>
          <w:szCs w:val="21"/>
        </w:rPr>
        <w:t>履约担保应在监理人向承包人颁发（出具）工程接收证书之日后28天内退还给承包人。发包人不承担承包人与履约担保有关的任何利息或其它类似的费用或者收益。</w:t>
      </w:r>
    </w:p>
    <w:p w14:paraId="0DE7C225">
      <w:pPr>
        <w:tabs>
          <w:tab w:val="left" w:pos="3855"/>
        </w:tabs>
        <w:spacing w:line="360" w:lineRule="auto"/>
        <w:outlineLvl w:val="2"/>
        <w:rPr>
          <w:rFonts w:ascii="宋体" w:hAnsi="宋体" w:cs="宋体"/>
          <w:szCs w:val="21"/>
        </w:rPr>
      </w:pPr>
      <w:r>
        <w:rPr>
          <w:rFonts w:hint="eastAsia" w:ascii="宋体" w:hAnsi="宋体" w:cs="宋体"/>
          <w:szCs w:val="21"/>
        </w:rPr>
        <w:t>4.2.4  通知义务</w:t>
      </w:r>
    </w:p>
    <w:p w14:paraId="0F0FB240">
      <w:pPr>
        <w:tabs>
          <w:tab w:val="left" w:pos="3855"/>
        </w:tabs>
        <w:spacing w:line="360" w:lineRule="auto"/>
        <w:rPr>
          <w:rFonts w:ascii="宋体" w:hAnsi="宋体" w:cs="宋体"/>
          <w:szCs w:val="21"/>
        </w:rPr>
      </w:pPr>
      <w:r>
        <w:rPr>
          <w:rFonts w:hint="eastAsia" w:ascii="宋体" w:hAnsi="宋体" w:cs="宋体"/>
          <w:szCs w:val="21"/>
        </w:rPr>
        <w:t>不管履约担保条款中如何约定，发包人根据担保条款提出索赔或兑现要求28天前，应通知承包人并说明导致此类索赔或兑现的违约性质或原因。相应地，不管第2.8款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14:paraId="68360C8D">
      <w:pPr>
        <w:tabs>
          <w:tab w:val="left" w:pos="3855"/>
        </w:tabs>
        <w:spacing w:line="360" w:lineRule="auto"/>
        <w:outlineLvl w:val="1"/>
        <w:rPr>
          <w:rFonts w:ascii="宋体" w:hAnsi="宋体" w:cs="宋体"/>
          <w:szCs w:val="21"/>
        </w:rPr>
      </w:pPr>
      <w:bookmarkStart w:id="1080" w:name="_Toc480486761"/>
      <w:bookmarkStart w:id="1081" w:name="_Toc338944735"/>
      <w:bookmarkStart w:id="1082" w:name="_Toc480486933"/>
      <w:bookmarkStart w:id="1083" w:name="_Toc489279890"/>
      <w:bookmarkStart w:id="1084" w:name="_Toc486580079"/>
      <w:bookmarkStart w:id="1085" w:name="_Toc490222524"/>
      <w:bookmarkStart w:id="1086" w:name="_Toc497456469"/>
      <w:bookmarkStart w:id="1087" w:name="_Toc483668108"/>
      <w:bookmarkStart w:id="1088" w:name="_Toc342296293"/>
      <w:r>
        <w:rPr>
          <w:rFonts w:hint="eastAsia" w:ascii="宋体" w:hAnsi="宋体" w:cs="宋体"/>
          <w:szCs w:val="21"/>
        </w:rPr>
        <w:t>4.3  分包</w:t>
      </w:r>
      <w:bookmarkEnd w:id="1080"/>
      <w:bookmarkEnd w:id="1081"/>
      <w:bookmarkEnd w:id="1082"/>
      <w:bookmarkEnd w:id="1083"/>
      <w:bookmarkEnd w:id="1084"/>
      <w:bookmarkEnd w:id="1085"/>
      <w:bookmarkEnd w:id="1086"/>
      <w:bookmarkEnd w:id="1087"/>
      <w:bookmarkEnd w:id="1088"/>
    </w:p>
    <w:p w14:paraId="7C8C6C1D">
      <w:pPr>
        <w:tabs>
          <w:tab w:val="left" w:pos="3855"/>
        </w:tabs>
        <w:spacing w:line="360" w:lineRule="auto"/>
        <w:outlineLvl w:val="2"/>
        <w:rPr>
          <w:rFonts w:ascii="宋体" w:hAnsi="宋体" w:cs="宋体"/>
          <w:szCs w:val="21"/>
        </w:rPr>
      </w:pPr>
      <w:r>
        <w:rPr>
          <w:rFonts w:hint="eastAsia" w:ascii="宋体" w:hAnsi="宋体" w:cs="宋体"/>
          <w:szCs w:val="21"/>
        </w:rPr>
        <w:t>4.3.1  承包人不得将其承包的全部工程转包给第三人，或将其承包的全部工程肢解后以分包的名义转包给第三人。</w:t>
      </w:r>
    </w:p>
    <w:p w14:paraId="321C8E25">
      <w:pPr>
        <w:tabs>
          <w:tab w:val="left" w:pos="3855"/>
        </w:tabs>
        <w:spacing w:line="360" w:lineRule="auto"/>
        <w:outlineLvl w:val="2"/>
        <w:rPr>
          <w:rFonts w:ascii="宋体" w:hAnsi="宋体" w:cs="宋体"/>
          <w:szCs w:val="21"/>
        </w:rPr>
      </w:pPr>
      <w:r>
        <w:rPr>
          <w:rFonts w:hint="eastAsia" w:ascii="宋体" w:hAnsi="宋体" w:cs="宋体"/>
          <w:szCs w:val="21"/>
        </w:rPr>
        <w:t>4.3.2  承包人不得将工程主体、关键性工作分包给第三人。</w:t>
      </w:r>
    </w:p>
    <w:p w14:paraId="0C85F3CB">
      <w:pPr>
        <w:tabs>
          <w:tab w:val="left" w:pos="3855"/>
        </w:tabs>
        <w:spacing w:line="360" w:lineRule="auto"/>
        <w:outlineLvl w:val="2"/>
        <w:rPr>
          <w:rFonts w:ascii="宋体" w:hAnsi="宋体" w:cs="宋体"/>
          <w:szCs w:val="21"/>
        </w:rPr>
      </w:pPr>
      <w:r>
        <w:rPr>
          <w:rFonts w:hint="eastAsia" w:ascii="宋体" w:hAnsi="宋体" w:cs="宋体"/>
          <w:szCs w:val="21"/>
        </w:rPr>
        <w:t>4.3.3  未经发包人同意，承包人不得将其自行施工范围工程的其他部分或工作分包给第三人。发包人同意承包人分包的非主体、非关键性工作包括：</w:t>
      </w:r>
    </w:p>
    <w:p w14:paraId="09E657C4">
      <w:pPr>
        <w:tabs>
          <w:tab w:val="left" w:pos="3855"/>
        </w:tabs>
        <w:spacing w:line="360" w:lineRule="auto"/>
        <w:rPr>
          <w:rFonts w:ascii="宋体" w:hAnsi="宋体" w:cs="宋体"/>
          <w:szCs w:val="21"/>
        </w:rPr>
      </w:pPr>
      <w:r>
        <w:rPr>
          <w:rFonts w:hint="eastAsia" w:ascii="宋体" w:hAnsi="宋体" w:cs="宋体"/>
          <w:szCs w:val="21"/>
        </w:rPr>
        <w:t>（1）投标函附录约定的分包工程；</w:t>
      </w:r>
    </w:p>
    <w:p w14:paraId="64C1A356">
      <w:pPr>
        <w:tabs>
          <w:tab w:val="left" w:pos="3855"/>
        </w:tabs>
        <w:spacing w:line="360" w:lineRule="auto"/>
        <w:rPr>
          <w:rFonts w:ascii="宋体" w:hAnsi="宋体" w:cs="宋体"/>
          <w:szCs w:val="21"/>
        </w:rPr>
      </w:pPr>
      <w:r>
        <w:rPr>
          <w:rFonts w:hint="eastAsia" w:ascii="宋体" w:hAnsi="宋体" w:cs="宋体"/>
          <w:szCs w:val="21"/>
        </w:rPr>
        <w:t>（2）除投标函附录中约定的分包内容外，经过发包人和监理人同意的其他非主体、非关键性工作，但分包人应当经过发包人和监理人审批。发包人和监理人有权拒绝承包人的分包请求和承包人选择的分包人。</w:t>
      </w:r>
    </w:p>
    <w:p w14:paraId="73A40FBA">
      <w:pPr>
        <w:tabs>
          <w:tab w:val="left" w:pos="3855"/>
        </w:tabs>
        <w:spacing w:line="360" w:lineRule="auto"/>
        <w:outlineLvl w:val="2"/>
        <w:rPr>
          <w:rFonts w:ascii="宋体" w:hAnsi="宋体" w:cs="宋体"/>
          <w:szCs w:val="21"/>
        </w:rPr>
      </w:pPr>
      <w:r>
        <w:rPr>
          <w:rFonts w:hint="eastAsia" w:ascii="宋体" w:hAnsi="宋体" w:cs="宋体"/>
          <w:szCs w:val="21"/>
        </w:rPr>
        <w:t>4.3.4  发包人在工程量清单中给定暂估价的专业工程，包括从暂列金额开支的专业工程，达到依法应当招标的规模标准的，以及虽未达到规定的规模标准但合同中约定采用招标方式实施的，应当按第15.8.1项的约定，由发包人和承包人以招标方式确定专业分包人。除项目审批部门有特别核准外，暂估价的专业工程的招标应当采用与施工总承包同样的招标方式。</w:t>
      </w:r>
    </w:p>
    <w:p w14:paraId="77FC4B94">
      <w:pPr>
        <w:tabs>
          <w:tab w:val="left" w:pos="3855"/>
        </w:tabs>
        <w:spacing w:line="360" w:lineRule="auto"/>
        <w:outlineLvl w:val="2"/>
        <w:rPr>
          <w:rFonts w:ascii="宋体" w:hAnsi="宋体" w:cs="宋体"/>
          <w:szCs w:val="21"/>
        </w:rPr>
      </w:pPr>
      <w:r>
        <w:rPr>
          <w:rFonts w:hint="eastAsia" w:ascii="宋体" w:hAnsi="宋体" w:cs="宋体"/>
          <w:szCs w:val="21"/>
        </w:rPr>
        <w:t>4.3.5  在相关分包合同签订并报送有关建设行政主管部门备案后7天内，承包人应当将一份副本提交给监理人，承包人应保障分包工作不得再次分包。</w:t>
      </w:r>
    </w:p>
    <w:p w14:paraId="24EC5418">
      <w:pPr>
        <w:tabs>
          <w:tab w:val="left" w:pos="3855"/>
        </w:tabs>
        <w:spacing w:line="360" w:lineRule="auto"/>
        <w:outlineLvl w:val="2"/>
        <w:rPr>
          <w:rFonts w:ascii="宋体" w:hAnsi="宋体" w:cs="宋体"/>
          <w:szCs w:val="21"/>
        </w:rPr>
      </w:pPr>
      <w:r>
        <w:rPr>
          <w:rFonts w:hint="eastAsia" w:ascii="宋体" w:hAnsi="宋体" w:cs="宋体"/>
          <w:szCs w:val="21"/>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1962E2C8">
      <w:pPr>
        <w:tabs>
          <w:tab w:val="left" w:pos="3855"/>
        </w:tabs>
        <w:spacing w:line="360" w:lineRule="auto"/>
        <w:outlineLvl w:val="2"/>
        <w:rPr>
          <w:rFonts w:ascii="宋体" w:hAnsi="宋体" w:cs="宋体"/>
          <w:szCs w:val="21"/>
        </w:rPr>
      </w:pPr>
      <w:r>
        <w:rPr>
          <w:rFonts w:hint="eastAsia" w:ascii="宋体" w:hAnsi="宋体" w:cs="宋体"/>
          <w:szCs w:val="21"/>
        </w:rPr>
        <w:t>4.3.7  未经发包人和监理人审批同意的分包工程和分包人，发包人有权拒绝验收分包工程和支付相应款项，由此引起的承包人费用增加和（或）延误的工期由承包人承担。</w:t>
      </w:r>
    </w:p>
    <w:p w14:paraId="01A2BFC4">
      <w:pPr>
        <w:tabs>
          <w:tab w:val="left" w:pos="3855"/>
        </w:tabs>
        <w:spacing w:line="360" w:lineRule="auto"/>
        <w:outlineLvl w:val="2"/>
        <w:rPr>
          <w:rFonts w:ascii="宋体" w:hAnsi="宋体" w:cs="宋体"/>
          <w:szCs w:val="21"/>
        </w:rPr>
      </w:pPr>
      <w:r>
        <w:rPr>
          <w:rFonts w:hint="eastAsia" w:ascii="宋体" w:hAnsi="宋体" w:cs="宋体"/>
          <w:szCs w:val="21"/>
        </w:rPr>
        <w:t>4.3.8  分包人的资格能力应与其分包工程的标准和规模相适应。</w:t>
      </w:r>
    </w:p>
    <w:p w14:paraId="5BA38304">
      <w:pPr>
        <w:tabs>
          <w:tab w:val="left" w:pos="3855"/>
        </w:tabs>
        <w:spacing w:line="360" w:lineRule="auto"/>
        <w:outlineLvl w:val="2"/>
        <w:rPr>
          <w:rFonts w:ascii="宋体" w:hAnsi="宋体" w:cs="宋体"/>
          <w:szCs w:val="21"/>
        </w:rPr>
      </w:pPr>
      <w:r>
        <w:rPr>
          <w:rFonts w:hint="eastAsia" w:ascii="宋体" w:hAnsi="宋体" w:cs="宋体"/>
          <w:szCs w:val="21"/>
        </w:rPr>
        <w:t>4.3.9  发包人同意的分包工程，承包人应向发包人和监理人提供合同副本。</w:t>
      </w:r>
    </w:p>
    <w:p w14:paraId="2AE60EDE">
      <w:pPr>
        <w:tabs>
          <w:tab w:val="left" w:pos="3855"/>
        </w:tabs>
        <w:spacing w:line="360" w:lineRule="auto"/>
        <w:outlineLvl w:val="2"/>
        <w:rPr>
          <w:rFonts w:ascii="宋体" w:hAnsi="宋体" w:cs="宋体"/>
          <w:szCs w:val="21"/>
        </w:rPr>
      </w:pPr>
      <w:r>
        <w:rPr>
          <w:rFonts w:hint="eastAsia" w:ascii="宋体" w:hAnsi="宋体" w:cs="宋体"/>
          <w:szCs w:val="21"/>
        </w:rPr>
        <w:t>4.3.10  承包人应与分包人就分包工程向发包人承担连带责任。</w:t>
      </w:r>
    </w:p>
    <w:p w14:paraId="56D5147E">
      <w:pPr>
        <w:tabs>
          <w:tab w:val="left" w:pos="3855"/>
        </w:tabs>
        <w:spacing w:line="360" w:lineRule="auto"/>
        <w:outlineLvl w:val="1"/>
        <w:rPr>
          <w:rFonts w:ascii="宋体" w:hAnsi="宋体" w:cs="宋体"/>
          <w:szCs w:val="21"/>
        </w:rPr>
      </w:pPr>
      <w:bookmarkStart w:id="1089" w:name="_Toc338944736"/>
      <w:bookmarkStart w:id="1090" w:name="_Toc342296294"/>
      <w:bookmarkStart w:id="1091" w:name="_Toc480486934"/>
      <w:bookmarkStart w:id="1092" w:name="_Toc152045643"/>
      <w:bookmarkStart w:id="1093" w:name="_Toc489279891"/>
      <w:bookmarkStart w:id="1094" w:name="_Toc490222525"/>
      <w:bookmarkStart w:id="1095" w:name="_Toc486580080"/>
      <w:bookmarkStart w:id="1096" w:name="_Toc497456470"/>
      <w:bookmarkStart w:id="1097" w:name="_Toc179632661"/>
      <w:bookmarkStart w:id="1098" w:name="_Toc152042421"/>
      <w:bookmarkStart w:id="1099" w:name="_Toc144974611"/>
      <w:bookmarkStart w:id="1100" w:name="_Toc480486762"/>
      <w:bookmarkStart w:id="1101" w:name="_Toc483668109"/>
      <w:r>
        <w:rPr>
          <w:rFonts w:hint="eastAsia" w:ascii="宋体" w:hAnsi="宋体" w:cs="宋体"/>
          <w:szCs w:val="21"/>
        </w:rPr>
        <w:t>4.4  联合体</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4780084E">
      <w:pPr>
        <w:tabs>
          <w:tab w:val="left" w:pos="3855"/>
        </w:tabs>
        <w:spacing w:line="360" w:lineRule="auto"/>
        <w:outlineLvl w:val="2"/>
        <w:rPr>
          <w:rFonts w:ascii="宋体" w:hAnsi="宋体" w:cs="宋体"/>
          <w:szCs w:val="21"/>
        </w:rPr>
      </w:pPr>
      <w:r>
        <w:rPr>
          <w:rFonts w:hint="eastAsia" w:ascii="宋体" w:hAnsi="宋体" w:cs="宋体"/>
          <w:szCs w:val="21"/>
        </w:rPr>
        <w:t>4.4.1  联合体各方应共同与发包人签订合同协议书。联合体各方应为履行合同承担连带责任。</w:t>
      </w:r>
    </w:p>
    <w:p w14:paraId="15CB6CB5">
      <w:pPr>
        <w:tabs>
          <w:tab w:val="left" w:pos="3855"/>
        </w:tabs>
        <w:spacing w:line="360" w:lineRule="auto"/>
        <w:outlineLvl w:val="2"/>
        <w:rPr>
          <w:rFonts w:ascii="宋体" w:hAnsi="宋体" w:cs="宋体"/>
          <w:szCs w:val="21"/>
        </w:rPr>
      </w:pPr>
      <w:r>
        <w:rPr>
          <w:rFonts w:hint="eastAsia" w:ascii="宋体" w:hAnsi="宋体" w:cs="宋体"/>
          <w:szCs w:val="21"/>
        </w:rPr>
        <w:t>4.4.2  联合体协议经发包人确认后作为合同附件。在履行合同过程中，未经发包人同意，不得修改联合体协议。</w:t>
      </w:r>
    </w:p>
    <w:p w14:paraId="38162376">
      <w:pPr>
        <w:tabs>
          <w:tab w:val="left" w:pos="3855"/>
        </w:tabs>
        <w:spacing w:line="360" w:lineRule="auto"/>
        <w:outlineLvl w:val="2"/>
        <w:rPr>
          <w:rFonts w:ascii="宋体" w:hAnsi="宋体" w:cs="宋体"/>
          <w:szCs w:val="21"/>
        </w:rPr>
      </w:pPr>
      <w:r>
        <w:rPr>
          <w:rFonts w:hint="eastAsia" w:ascii="宋体" w:hAnsi="宋体" w:cs="宋体"/>
          <w:szCs w:val="21"/>
        </w:rPr>
        <w:t>4.4.3  联合体牵头人负责与发包人和监理人联系，并接受指示，负责组织联合体各成员全面履行合同。</w:t>
      </w:r>
    </w:p>
    <w:p w14:paraId="445B3930">
      <w:pPr>
        <w:tabs>
          <w:tab w:val="left" w:pos="3855"/>
        </w:tabs>
        <w:spacing w:line="360" w:lineRule="auto"/>
        <w:outlineLvl w:val="1"/>
        <w:rPr>
          <w:rFonts w:ascii="宋体" w:hAnsi="宋体" w:cs="宋体"/>
          <w:szCs w:val="21"/>
        </w:rPr>
      </w:pPr>
      <w:bookmarkStart w:id="1102" w:name="_Toc480486935"/>
      <w:bookmarkStart w:id="1103" w:name="_Toc490222526"/>
      <w:bookmarkStart w:id="1104" w:name="_Toc483668110"/>
      <w:bookmarkStart w:id="1105" w:name="_Toc497456471"/>
      <w:bookmarkStart w:id="1106" w:name="_Toc480486763"/>
      <w:bookmarkStart w:id="1107" w:name="_Toc486580081"/>
      <w:bookmarkStart w:id="1108" w:name="_Toc342296295"/>
      <w:bookmarkStart w:id="1109" w:name="_Toc338944737"/>
      <w:bookmarkStart w:id="1110" w:name="_Toc489279892"/>
      <w:r>
        <w:rPr>
          <w:rFonts w:hint="eastAsia" w:ascii="宋体" w:hAnsi="宋体" w:cs="宋体"/>
          <w:szCs w:val="21"/>
        </w:rPr>
        <w:t>4.5  承包人项目经理</w:t>
      </w:r>
      <w:bookmarkEnd w:id="1102"/>
      <w:bookmarkEnd w:id="1103"/>
      <w:bookmarkEnd w:id="1104"/>
      <w:bookmarkEnd w:id="1105"/>
      <w:bookmarkEnd w:id="1106"/>
      <w:bookmarkEnd w:id="1107"/>
      <w:bookmarkEnd w:id="1108"/>
      <w:bookmarkEnd w:id="1109"/>
      <w:bookmarkEnd w:id="1110"/>
    </w:p>
    <w:p w14:paraId="7AADBFAD">
      <w:pPr>
        <w:tabs>
          <w:tab w:val="left" w:pos="3855"/>
        </w:tabs>
        <w:spacing w:line="360" w:lineRule="auto"/>
        <w:outlineLvl w:val="2"/>
        <w:rPr>
          <w:rFonts w:ascii="宋体" w:hAnsi="宋体" w:cs="宋体"/>
          <w:szCs w:val="21"/>
        </w:rPr>
      </w:pPr>
      <w:r>
        <w:rPr>
          <w:rFonts w:hint="eastAsia" w:ascii="宋体" w:hAnsi="宋体" w:cs="宋体"/>
          <w:szCs w:val="21"/>
        </w:rPr>
        <w:t>4.5.1  承包人项目经理必须与承包人投标时所承诺的人员一致，并在根据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14天前通知发包人和监理人。承包人项目经理短期离开施工场地，应事先征得监理人同意，并委派代表代行其职责。</w:t>
      </w:r>
    </w:p>
    <w:p w14:paraId="769F367F">
      <w:pPr>
        <w:tabs>
          <w:tab w:val="left" w:pos="3855"/>
        </w:tabs>
        <w:spacing w:line="360" w:lineRule="auto"/>
        <w:outlineLvl w:val="2"/>
        <w:rPr>
          <w:rFonts w:ascii="宋体" w:hAnsi="宋体" w:cs="宋体"/>
          <w:szCs w:val="21"/>
        </w:rPr>
      </w:pPr>
      <w:r>
        <w:rPr>
          <w:rFonts w:hint="eastAsia" w:ascii="宋体" w:hAnsi="宋体" w:cs="宋体"/>
          <w:szCs w:val="21"/>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54FAA0A5">
      <w:pPr>
        <w:tabs>
          <w:tab w:val="left" w:pos="3855"/>
        </w:tabs>
        <w:spacing w:line="360" w:lineRule="auto"/>
        <w:outlineLvl w:val="2"/>
        <w:rPr>
          <w:rFonts w:ascii="宋体" w:hAnsi="宋体" w:cs="宋体"/>
          <w:szCs w:val="21"/>
        </w:rPr>
      </w:pPr>
      <w:r>
        <w:rPr>
          <w:rFonts w:hint="eastAsia" w:ascii="宋体" w:hAnsi="宋体" w:cs="宋体"/>
          <w:szCs w:val="21"/>
        </w:rPr>
        <w:t>4.5.3  承包人为履行合同发出的一切函件均应盖有承包人授权的施工场地管理机构章，并由承包人项目经理或其授权代表签字。</w:t>
      </w:r>
    </w:p>
    <w:p w14:paraId="2DF1B32F">
      <w:pPr>
        <w:tabs>
          <w:tab w:val="left" w:pos="3855"/>
        </w:tabs>
        <w:spacing w:line="360" w:lineRule="auto"/>
        <w:outlineLvl w:val="2"/>
        <w:rPr>
          <w:rFonts w:ascii="宋体" w:hAnsi="宋体" w:cs="宋体"/>
          <w:szCs w:val="21"/>
        </w:rPr>
      </w:pPr>
      <w:r>
        <w:rPr>
          <w:rFonts w:hint="eastAsia" w:ascii="宋体" w:hAnsi="宋体" w:cs="宋体"/>
          <w:szCs w:val="21"/>
        </w:rPr>
        <w:t>4.5.4  承包人项目经理可以授权其下属人员履行其某项职责，但事先应将这些人员的姓名和授权范围通知监理人。</w:t>
      </w:r>
    </w:p>
    <w:p w14:paraId="2C73D25D">
      <w:pPr>
        <w:tabs>
          <w:tab w:val="left" w:pos="3855"/>
        </w:tabs>
        <w:spacing w:line="360" w:lineRule="auto"/>
        <w:outlineLvl w:val="1"/>
        <w:rPr>
          <w:rFonts w:ascii="宋体" w:hAnsi="宋体" w:cs="宋体"/>
          <w:szCs w:val="21"/>
        </w:rPr>
      </w:pPr>
      <w:bookmarkStart w:id="1111" w:name="_Toc486580082"/>
      <w:bookmarkStart w:id="1112" w:name="_Toc152042423"/>
      <w:bookmarkStart w:id="1113" w:name="_Toc490222527"/>
      <w:bookmarkStart w:id="1114" w:name="_Toc480486764"/>
      <w:bookmarkStart w:id="1115" w:name="_Toc342296296"/>
      <w:bookmarkStart w:id="1116" w:name="_Toc179632663"/>
      <w:bookmarkStart w:id="1117" w:name="_Toc483668111"/>
      <w:bookmarkStart w:id="1118" w:name="_Toc152045645"/>
      <w:bookmarkStart w:id="1119" w:name="_Toc497456472"/>
      <w:bookmarkStart w:id="1120" w:name="_Toc338944738"/>
      <w:bookmarkStart w:id="1121" w:name="_Toc480486936"/>
      <w:bookmarkStart w:id="1122" w:name="_Toc144974613"/>
      <w:bookmarkStart w:id="1123" w:name="_Toc489279893"/>
      <w:r>
        <w:rPr>
          <w:rFonts w:hint="eastAsia" w:ascii="宋体" w:hAnsi="宋体" w:cs="宋体"/>
          <w:szCs w:val="21"/>
        </w:rPr>
        <w:t>4.6  承包人人员的管理</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725A0DC7">
      <w:pPr>
        <w:tabs>
          <w:tab w:val="left" w:pos="3855"/>
        </w:tabs>
        <w:spacing w:line="360" w:lineRule="auto"/>
        <w:outlineLvl w:val="2"/>
        <w:rPr>
          <w:rFonts w:ascii="宋体" w:hAnsi="宋体" w:cs="宋体"/>
          <w:szCs w:val="21"/>
        </w:rPr>
      </w:pPr>
      <w:r>
        <w:rPr>
          <w:rFonts w:hint="eastAsia" w:ascii="宋体" w:hAnsi="宋体" w:cs="宋体"/>
          <w:szCs w:val="21"/>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03CF7CE3">
      <w:pPr>
        <w:tabs>
          <w:tab w:val="left" w:pos="3855"/>
        </w:tabs>
        <w:spacing w:line="360" w:lineRule="auto"/>
        <w:outlineLvl w:val="2"/>
        <w:rPr>
          <w:rFonts w:ascii="宋体" w:hAnsi="宋体" w:cs="宋体"/>
          <w:szCs w:val="21"/>
        </w:rPr>
      </w:pPr>
      <w:r>
        <w:rPr>
          <w:rFonts w:hint="eastAsia" w:ascii="宋体" w:hAnsi="宋体" w:cs="宋体"/>
          <w:szCs w:val="21"/>
        </w:rPr>
        <w:t>4.6.2  为完成合同约定的各项工作，承包人应向施工场地派遣或雇佣足够数量的下列人员：</w:t>
      </w:r>
    </w:p>
    <w:p w14:paraId="49F6D207">
      <w:pPr>
        <w:tabs>
          <w:tab w:val="left" w:pos="3855"/>
        </w:tabs>
        <w:spacing w:line="360" w:lineRule="auto"/>
        <w:rPr>
          <w:rFonts w:ascii="宋体" w:hAnsi="宋体" w:cs="宋体"/>
          <w:szCs w:val="21"/>
        </w:rPr>
      </w:pPr>
      <w:r>
        <w:rPr>
          <w:rFonts w:hint="eastAsia" w:ascii="宋体" w:hAnsi="宋体" w:cs="宋体"/>
          <w:szCs w:val="21"/>
        </w:rPr>
        <w:t>（1）具有相应资格的专业技工和合格的普工；</w:t>
      </w:r>
    </w:p>
    <w:p w14:paraId="1CE42DE9">
      <w:pPr>
        <w:tabs>
          <w:tab w:val="left" w:pos="3855"/>
        </w:tabs>
        <w:spacing w:line="360" w:lineRule="auto"/>
        <w:rPr>
          <w:rFonts w:ascii="宋体" w:hAnsi="宋体" w:cs="宋体"/>
          <w:szCs w:val="21"/>
        </w:rPr>
      </w:pPr>
      <w:r>
        <w:rPr>
          <w:rFonts w:hint="eastAsia" w:ascii="宋体" w:hAnsi="宋体" w:cs="宋体"/>
          <w:szCs w:val="21"/>
        </w:rPr>
        <w:t>（2）具有相应施工经验的技术人员；</w:t>
      </w:r>
    </w:p>
    <w:p w14:paraId="78C2158A">
      <w:pPr>
        <w:tabs>
          <w:tab w:val="left" w:pos="3855"/>
        </w:tabs>
        <w:spacing w:line="360" w:lineRule="auto"/>
        <w:rPr>
          <w:rFonts w:ascii="宋体" w:hAnsi="宋体" w:cs="宋体"/>
          <w:szCs w:val="21"/>
        </w:rPr>
      </w:pPr>
      <w:r>
        <w:rPr>
          <w:rFonts w:hint="eastAsia" w:ascii="宋体" w:hAnsi="宋体" w:cs="宋体"/>
          <w:szCs w:val="21"/>
        </w:rPr>
        <w:t>（3）具有相应岗位资格的各级管理人员。</w:t>
      </w:r>
    </w:p>
    <w:p w14:paraId="48C13D6D">
      <w:pPr>
        <w:tabs>
          <w:tab w:val="left" w:pos="3855"/>
        </w:tabs>
        <w:spacing w:line="360" w:lineRule="auto"/>
        <w:outlineLvl w:val="2"/>
        <w:rPr>
          <w:rFonts w:ascii="宋体" w:hAnsi="宋体" w:cs="宋体"/>
          <w:szCs w:val="21"/>
        </w:rPr>
      </w:pPr>
      <w:r>
        <w:rPr>
          <w:rFonts w:hint="eastAsia" w:ascii="宋体" w:hAnsi="宋体" w:cs="宋体"/>
          <w:szCs w:val="21"/>
        </w:rPr>
        <w:t>4.6.3  承包人安排在施工场地的主要管理人员和技术骨干应相对稳定。承包人更换主要管理人员和技术骨干时，应取得监理人的同意。</w:t>
      </w:r>
    </w:p>
    <w:p w14:paraId="385E66D3">
      <w:pPr>
        <w:tabs>
          <w:tab w:val="left" w:pos="3855"/>
        </w:tabs>
        <w:spacing w:line="360" w:lineRule="auto"/>
        <w:outlineLvl w:val="2"/>
        <w:rPr>
          <w:rFonts w:ascii="宋体" w:hAnsi="宋体" w:cs="宋体"/>
          <w:szCs w:val="21"/>
        </w:rPr>
      </w:pPr>
      <w:r>
        <w:rPr>
          <w:rFonts w:hint="eastAsia" w:ascii="宋体" w:hAnsi="宋体" w:cs="宋体"/>
          <w:szCs w:val="21"/>
        </w:rPr>
        <w:t>4.6.4  特殊岗位的工作人员均应持有相应的资格证明，监理人有权随时检查。监理人认为有必要时，可进行现场考核。</w:t>
      </w:r>
    </w:p>
    <w:p w14:paraId="189B7988">
      <w:pPr>
        <w:tabs>
          <w:tab w:val="left" w:pos="3855"/>
        </w:tabs>
        <w:spacing w:line="360" w:lineRule="auto"/>
        <w:outlineLvl w:val="1"/>
        <w:rPr>
          <w:rFonts w:ascii="宋体" w:hAnsi="宋体" w:cs="宋体"/>
          <w:szCs w:val="21"/>
        </w:rPr>
      </w:pPr>
      <w:bookmarkStart w:id="1124" w:name="_Toc179632664"/>
      <w:bookmarkStart w:id="1125" w:name="_Toc480486937"/>
      <w:bookmarkStart w:id="1126" w:name="_Toc144974614"/>
      <w:bookmarkStart w:id="1127" w:name="_Toc338944739"/>
      <w:bookmarkStart w:id="1128" w:name="_Toc152045646"/>
      <w:bookmarkStart w:id="1129" w:name="_Toc480486765"/>
      <w:bookmarkStart w:id="1130" w:name="_Toc486580083"/>
      <w:bookmarkStart w:id="1131" w:name="_Toc490222528"/>
      <w:bookmarkStart w:id="1132" w:name="_Toc497456473"/>
      <w:bookmarkStart w:id="1133" w:name="_Toc342296297"/>
      <w:bookmarkStart w:id="1134" w:name="_Toc489279894"/>
      <w:bookmarkStart w:id="1135" w:name="_Toc483668112"/>
      <w:bookmarkStart w:id="1136" w:name="_Toc152042424"/>
      <w:r>
        <w:rPr>
          <w:rFonts w:hint="eastAsia" w:ascii="宋体" w:hAnsi="宋体" w:cs="宋体"/>
          <w:szCs w:val="21"/>
        </w:rPr>
        <w:t>4.7  撤换承包人项目经理和其他人员</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14:paraId="1F9217D2">
      <w:pPr>
        <w:tabs>
          <w:tab w:val="left" w:pos="3855"/>
        </w:tabs>
        <w:spacing w:line="360" w:lineRule="auto"/>
        <w:rPr>
          <w:rFonts w:ascii="宋体" w:hAnsi="宋体" w:cs="宋体"/>
          <w:szCs w:val="21"/>
        </w:rPr>
      </w:pPr>
      <w:r>
        <w:rPr>
          <w:rFonts w:hint="eastAsia" w:ascii="宋体" w:hAnsi="宋体" w:cs="宋体"/>
          <w:szCs w:val="21"/>
        </w:rPr>
        <w:t>承包人应对其项目经理和其他人员进行有效管理。监理人要求撤换不能胜任本职工作、行为不端或玩忽职守的承包人项目经理和其他人员的，承包人应予以撤换。</w:t>
      </w:r>
    </w:p>
    <w:p w14:paraId="42A89CB8">
      <w:pPr>
        <w:tabs>
          <w:tab w:val="left" w:pos="3855"/>
        </w:tabs>
        <w:spacing w:line="360" w:lineRule="auto"/>
        <w:outlineLvl w:val="1"/>
        <w:rPr>
          <w:rFonts w:ascii="宋体" w:hAnsi="宋体" w:cs="宋体"/>
          <w:szCs w:val="21"/>
        </w:rPr>
      </w:pPr>
      <w:bookmarkStart w:id="1137" w:name="_Toc152045647"/>
      <w:bookmarkStart w:id="1138" w:name="_Toc179632665"/>
      <w:bookmarkStart w:id="1139" w:name="_Toc144974615"/>
      <w:bookmarkStart w:id="1140" w:name="_Toc338944740"/>
      <w:bookmarkStart w:id="1141" w:name="_Toc490222529"/>
      <w:bookmarkStart w:id="1142" w:name="_Toc480486766"/>
      <w:bookmarkStart w:id="1143" w:name="_Toc480486938"/>
      <w:bookmarkStart w:id="1144" w:name="_Toc483668113"/>
      <w:bookmarkStart w:id="1145" w:name="_Toc152042425"/>
      <w:bookmarkStart w:id="1146" w:name="_Toc486580084"/>
      <w:bookmarkStart w:id="1147" w:name="_Toc497456474"/>
      <w:bookmarkStart w:id="1148" w:name="_Toc342296298"/>
      <w:bookmarkStart w:id="1149" w:name="_Toc489279895"/>
      <w:r>
        <w:rPr>
          <w:rFonts w:hint="eastAsia" w:ascii="宋体" w:hAnsi="宋体" w:cs="宋体"/>
          <w:szCs w:val="21"/>
        </w:rPr>
        <w:t>4.8  保障承包人人员的合法权益</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14:paraId="599118FB">
      <w:pPr>
        <w:tabs>
          <w:tab w:val="left" w:pos="3855"/>
        </w:tabs>
        <w:spacing w:line="360" w:lineRule="auto"/>
        <w:outlineLvl w:val="2"/>
        <w:rPr>
          <w:rFonts w:ascii="宋体" w:hAnsi="宋体" w:cs="宋体"/>
          <w:szCs w:val="21"/>
        </w:rPr>
      </w:pPr>
      <w:r>
        <w:rPr>
          <w:rFonts w:hint="eastAsia" w:ascii="宋体" w:hAnsi="宋体" w:cs="宋体"/>
          <w:szCs w:val="21"/>
        </w:rPr>
        <w:t>4.8.1  承包人应与其雇佣的人员签订劳动合同，并按时发放工资。</w:t>
      </w:r>
    </w:p>
    <w:p w14:paraId="2E7842BB">
      <w:pPr>
        <w:tabs>
          <w:tab w:val="left" w:pos="3855"/>
        </w:tabs>
        <w:spacing w:line="360" w:lineRule="auto"/>
        <w:outlineLvl w:val="2"/>
        <w:rPr>
          <w:rFonts w:ascii="宋体" w:hAnsi="宋体" w:cs="宋体"/>
          <w:szCs w:val="21"/>
        </w:rPr>
      </w:pPr>
      <w:r>
        <w:rPr>
          <w:rFonts w:hint="eastAsia" w:ascii="宋体" w:hAnsi="宋体" w:cs="宋体"/>
          <w:szCs w:val="21"/>
        </w:rPr>
        <w:t>4.8.2  承包人应按劳动法的规定安排工作时间，保证其雇佣人员享有休息和休假的权利。因工程施工的特殊需要占用休假日或延长工作时间的，应不超过法律规定的限度，并按法律规定给予补休或付酬。</w:t>
      </w:r>
    </w:p>
    <w:p w14:paraId="56A4C8D6">
      <w:pPr>
        <w:tabs>
          <w:tab w:val="left" w:pos="3855"/>
        </w:tabs>
        <w:spacing w:line="360" w:lineRule="auto"/>
        <w:outlineLvl w:val="2"/>
        <w:rPr>
          <w:rFonts w:ascii="宋体" w:hAnsi="宋体" w:cs="宋体"/>
          <w:szCs w:val="21"/>
        </w:rPr>
      </w:pPr>
      <w:r>
        <w:rPr>
          <w:rFonts w:hint="eastAsia" w:ascii="宋体" w:hAnsi="宋体" w:cs="宋体"/>
          <w:szCs w:val="21"/>
        </w:rPr>
        <w:t>4.8.3  承包人应为其雇佣人员提供必要的食宿条件，以及符合环境保护和卫生要求的生活环境，在远离城镇的施工场地，还应配备必要的伤病防治和急救的医务人员与医疗设施。</w:t>
      </w:r>
    </w:p>
    <w:p w14:paraId="0AB9AFD5">
      <w:pPr>
        <w:tabs>
          <w:tab w:val="left" w:pos="3855"/>
        </w:tabs>
        <w:spacing w:line="360" w:lineRule="auto"/>
        <w:outlineLvl w:val="2"/>
        <w:rPr>
          <w:rFonts w:ascii="宋体" w:hAnsi="宋体" w:cs="宋体"/>
          <w:szCs w:val="21"/>
        </w:rPr>
      </w:pPr>
      <w:r>
        <w:rPr>
          <w:rFonts w:hint="eastAsia" w:ascii="宋体" w:hAnsi="宋体" w:cs="宋体"/>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109B3C0C">
      <w:pPr>
        <w:tabs>
          <w:tab w:val="left" w:pos="3855"/>
        </w:tabs>
        <w:spacing w:line="360" w:lineRule="auto"/>
        <w:outlineLvl w:val="2"/>
        <w:rPr>
          <w:rFonts w:ascii="宋体" w:hAnsi="宋体" w:cs="宋体"/>
          <w:szCs w:val="21"/>
        </w:rPr>
      </w:pPr>
      <w:r>
        <w:rPr>
          <w:rFonts w:hint="eastAsia" w:ascii="宋体" w:hAnsi="宋体" w:cs="宋体"/>
          <w:szCs w:val="21"/>
        </w:rPr>
        <w:t>4.8.5  承包人应按有关法律规定和合同约定，为其雇佣人员办理保险。</w:t>
      </w:r>
    </w:p>
    <w:p w14:paraId="2E5B5EA5">
      <w:pPr>
        <w:tabs>
          <w:tab w:val="left" w:pos="3855"/>
        </w:tabs>
        <w:spacing w:line="360" w:lineRule="auto"/>
        <w:outlineLvl w:val="2"/>
        <w:rPr>
          <w:rFonts w:ascii="宋体" w:hAnsi="宋体" w:cs="宋体"/>
          <w:szCs w:val="21"/>
        </w:rPr>
      </w:pPr>
      <w:r>
        <w:rPr>
          <w:rFonts w:hint="eastAsia" w:ascii="宋体" w:hAnsi="宋体" w:cs="宋体"/>
          <w:szCs w:val="21"/>
        </w:rPr>
        <w:t>4.8.6  承包人应负责处理其雇佣人员因工伤亡事故的善后事宜。</w:t>
      </w:r>
    </w:p>
    <w:p w14:paraId="024AA1F5">
      <w:pPr>
        <w:tabs>
          <w:tab w:val="left" w:pos="3855"/>
        </w:tabs>
        <w:spacing w:line="360" w:lineRule="auto"/>
        <w:outlineLvl w:val="1"/>
        <w:rPr>
          <w:rFonts w:ascii="宋体" w:hAnsi="宋体" w:cs="宋体"/>
          <w:szCs w:val="21"/>
        </w:rPr>
      </w:pPr>
      <w:bookmarkStart w:id="1150" w:name="_Toc483668114"/>
      <w:bookmarkStart w:id="1151" w:name="_Toc480486939"/>
      <w:bookmarkStart w:id="1152" w:name="_Toc338944741"/>
      <w:bookmarkStart w:id="1153" w:name="_Toc497456475"/>
      <w:bookmarkStart w:id="1154" w:name="_Toc179632666"/>
      <w:bookmarkStart w:id="1155" w:name="_Toc152045648"/>
      <w:bookmarkStart w:id="1156" w:name="_Toc342296299"/>
      <w:bookmarkStart w:id="1157" w:name="_Toc486580085"/>
      <w:bookmarkStart w:id="1158" w:name="_Toc480486767"/>
      <w:bookmarkStart w:id="1159" w:name="_Toc152042426"/>
      <w:bookmarkStart w:id="1160" w:name="_Toc144974616"/>
      <w:bookmarkStart w:id="1161" w:name="_Toc489279896"/>
      <w:bookmarkStart w:id="1162" w:name="_Toc490222530"/>
      <w:r>
        <w:rPr>
          <w:rFonts w:hint="eastAsia" w:ascii="宋体" w:hAnsi="宋体" w:cs="宋体"/>
          <w:szCs w:val="21"/>
        </w:rPr>
        <w:t>4.9  工程价款应专款专用</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0433E875">
      <w:pPr>
        <w:tabs>
          <w:tab w:val="left" w:pos="3855"/>
        </w:tabs>
        <w:spacing w:line="360" w:lineRule="auto"/>
        <w:rPr>
          <w:rFonts w:ascii="宋体" w:hAnsi="宋体" w:cs="宋体"/>
          <w:szCs w:val="21"/>
        </w:rPr>
      </w:pPr>
      <w:r>
        <w:rPr>
          <w:rFonts w:hint="eastAsia" w:ascii="宋体" w:hAnsi="宋体" w:cs="宋体"/>
          <w:szCs w:val="21"/>
        </w:rPr>
        <w:t>发包人按合同约定支付给承包人的各项价款应专用于合同工程。</w:t>
      </w:r>
    </w:p>
    <w:p w14:paraId="566989AD">
      <w:pPr>
        <w:tabs>
          <w:tab w:val="left" w:pos="3855"/>
        </w:tabs>
        <w:spacing w:line="360" w:lineRule="auto"/>
        <w:outlineLvl w:val="1"/>
        <w:rPr>
          <w:rFonts w:ascii="宋体" w:hAnsi="宋体" w:cs="宋体"/>
          <w:szCs w:val="21"/>
        </w:rPr>
      </w:pPr>
      <w:bookmarkStart w:id="1163" w:name="_Toc490222531"/>
      <w:bookmarkStart w:id="1164" w:name="_Toc480486940"/>
      <w:bookmarkStart w:id="1165" w:name="_Toc152045649"/>
      <w:bookmarkStart w:id="1166" w:name="_Toc338944742"/>
      <w:bookmarkStart w:id="1167" w:name="_Toc144974617"/>
      <w:bookmarkStart w:id="1168" w:name="_Toc483668115"/>
      <w:bookmarkStart w:id="1169" w:name="_Toc342296300"/>
      <w:bookmarkStart w:id="1170" w:name="_Toc497456476"/>
      <w:bookmarkStart w:id="1171" w:name="_Toc152042427"/>
      <w:bookmarkStart w:id="1172" w:name="_Toc480486768"/>
      <w:bookmarkStart w:id="1173" w:name="_Toc486580086"/>
      <w:bookmarkStart w:id="1174" w:name="_Toc489279897"/>
      <w:bookmarkStart w:id="1175" w:name="_Toc179632667"/>
      <w:r>
        <w:rPr>
          <w:rFonts w:hint="eastAsia" w:ascii="宋体" w:hAnsi="宋体" w:cs="宋体"/>
          <w:szCs w:val="21"/>
        </w:rPr>
        <w:t>4.10  承包人现场查勘</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29D39306">
      <w:pPr>
        <w:tabs>
          <w:tab w:val="left" w:pos="3855"/>
        </w:tabs>
        <w:spacing w:line="360" w:lineRule="auto"/>
        <w:outlineLvl w:val="2"/>
        <w:rPr>
          <w:rFonts w:ascii="宋体" w:hAnsi="宋体" w:cs="宋体"/>
          <w:szCs w:val="21"/>
        </w:rPr>
      </w:pPr>
      <w:r>
        <w:rPr>
          <w:rFonts w:hint="eastAsia" w:ascii="宋体" w:hAnsi="宋体" w:cs="宋体"/>
          <w:szCs w:val="21"/>
        </w:rPr>
        <w:t>4.10.1  发包人应将其持有的现场地质勘探资料、水文气象资料提供给承包人，并对其准确性负责。但承包人应对其阅读上述有关资料后所作出的解释和推断负责。</w:t>
      </w:r>
    </w:p>
    <w:p w14:paraId="34BC07ED">
      <w:pPr>
        <w:tabs>
          <w:tab w:val="left" w:pos="3855"/>
        </w:tabs>
        <w:spacing w:line="360" w:lineRule="auto"/>
        <w:outlineLvl w:val="2"/>
        <w:rPr>
          <w:rFonts w:ascii="宋体" w:hAnsi="宋体" w:cs="宋体"/>
          <w:szCs w:val="21"/>
        </w:rPr>
      </w:pPr>
      <w:r>
        <w:rPr>
          <w:rFonts w:hint="eastAsia" w:ascii="宋体" w:hAnsi="宋体" w:cs="宋体"/>
          <w:szCs w:val="21"/>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C88D229">
      <w:pPr>
        <w:tabs>
          <w:tab w:val="left" w:pos="3855"/>
        </w:tabs>
        <w:spacing w:line="360" w:lineRule="auto"/>
        <w:outlineLvl w:val="1"/>
        <w:rPr>
          <w:rFonts w:ascii="宋体" w:hAnsi="宋体" w:cs="宋体"/>
          <w:szCs w:val="21"/>
        </w:rPr>
      </w:pPr>
      <w:bookmarkStart w:id="1176" w:name="_Toc480486769"/>
      <w:bookmarkStart w:id="1177" w:name="_Toc483668116"/>
      <w:bookmarkStart w:id="1178" w:name="_Toc480486941"/>
      <w:bookmarkStart w:id="1179" w:name="_Toc489279898"/>
      <w:bookmarkStart w:id="1180" w:name="_Toc490222532"/>
      <w:bookmarkStart w:id="1181" w:name="_Toc338944743"/>
      <w:bookmarkStart w:id="1182" w:name="_Toc497456477"/>
      <w:bookmarkStart w:id="1183" w:name="_Toc486580087"/>
      <w:bookmarkStart w:id="1184" w:name="_Toc342296301"/>
      <w:r>
        <w:rPr>
          <w:rFonts w:hint="eastAsia" w:ascii="宋体" w:hAnsi="宋体" w:cs="宋体"/>
          <w:szCs w:val="21"/>
        </w:rPr>
        <w:t>4.11  不利物质条件</w:t>
      </w:r>
      <w:bookmarkEnd w:id="1176"/>
      <w:bookmarkEnd w:id="1177"/>
      <w:bookmarkEnd w:id="1178"/>
      <w:bookmarkEnd w:id="1179"/>
      <w:bookmarkEnd w:id="1180"/>
      <w:bookmarkEnd w:id="1181"/>
      <w:bookmarkEnd w:id="1182"/>
      <w:bookmarkEnd w:id="1183"/>
      <w:bookmarkEnd w:id="1184"/>
    </w:p>
    <w:p w14:paraId="17F3382D">
      <w:pPr>
        <w:tabs>
          <w:tab w:val="left" w:pos="3855"/>
        </w:tabs>
        <w:spacing w:line="360" w:lineRule="auto"/>
        <w:outlineLvl w:val="2"/>
        <w:rPr>
          <w:rFonts w:ascii="宋体" w:hAnsi="宋体" w:cs="宋体"/>
          <w:szCs w:val="21"/>
        </w:rPr>
      </w:pPr>
      <w:r>
        <w:rPr>
          <w:rFonts w:hint="eastAsia" w:ascii="宋体" w:hAnsi="宋体" w:cs="宋体"/>
          <w:szCs w:val="21"/>
        </w:rPr>
        <w:t>4.11.1  不利物质条件一般是指承包人在施工场地遇到的不可预见的自然物质条件、非自然的物质障碍和污染物，包括地下和水文条件，但不包括气候条件。不利物质条件的具体范围见合同条款专用部分。</w:t>
      </w:r>
    </w:p>
    <w:p w14:paraId="68BEE28C">
      <w:pPr>
        <w:tabs>
          <w:tab w:val="left" w:pos="3855"/>
        </w:tabs>
        <w:spacing w:line="360" w:lineRule="auto"/>
        <w:outlineLvl w:val="2"/>
        <w:rPr>
          <w:rFonts w:ascii="宋体" w:hAnsi="宋体" w:cs="宋体"/>
          <w:szCs w:val="21"/>
        </w:rPr>
      </w:pPr>
      <w:r>
        <w:rPr>
          <w:rFonts w:hint="eastAsia" w:ascii="宋体" w:hAnsi="宋体" w:cs="宋体"/>
          <w:szCs w:val="21"/>
        </w:rPr>
        <w:t>4.11.2  承包人遇到不利物质条件时，应采取适应不利物质条件的合理措施继续施工，并及时通知监理人。监理人应当及时发出指示，指示构成变更的，按第15条约定办理。监理人没有发出指示的，承包人因采取合理措施增加的费用和（或）工期延误，由发包人承担。</w:t>
      </w:r>
    </w:p>
    <w:p w14:paraId="7E060AA5">
      <w:pPr>
        <w:tabs>
          <w:tab w:val="left" w:pos="3855"/>
        </w:tabs>
        <w:spacing w:line="360" w:lineRule="auto"/>
        <w:outlineLvl w:val="0"/>
        <w:rPr>
          <w:rFonts w:ascii="宋体" w:hAnsi="宋体" w:cs="宋体"/>
          <w:szCs w:val="21"/>
        </w:rPr>
      </w:pPr>
      <w:bookmarkStart w:id="1185" w:name="_Toc483668117"/>
      <w:bookmarkStart w:id="1186" w:name="_Toc497456478"/>
      <w:bookmarkStart w:id="1187" w:name="_Toc338944744"/>
      <w:bookmarkStart w:id="1188" w:name="_Toc490222533"/>
      <w:bookmarkStart w:id="1189" w:name="_Toc480486942"/>
      <w:bookmarkStart w:id="1190" w:name="_Toc489279899"/>
      <w:bookmarkStart w:id="1191" w:name="_Toc480486770"/>
      <w:bookmarkStart w:id="1192" w:name="_Toc342296302"/>
      <w:bookmarkStart w:id="1193" w:name="_Toc486580088"/>
      <w:r>
        <w:rPr>
          <w:rFonts w:hint="eastAsia" w:ascii="宋体" w:hAnsi="宋体" w:cs="宋体"/>
          <w:szCs w:val="21"/>
        </w:rPr>
        <w:t>5.材料和工程设备</w:t>
      </w:r>
      <w:bookmarkEnd w:id="1185"/>
      <w:bookmarkEnd w:id="1186"/>
      <w:bookmarkEnd w:id="1187"/>
      <w:bookmarkEnd w:id="1188"/>
      <w:bookmarkEnd w:id="1189"/>
      <w:bookmarkEnd w:id="1190"/>
      <w:bookmarkEnd w:id="1191"/>
      <w:bookmarkEnd w:id="1192"/>
      <w:bookmarkEnd w:id="1193"/>
    </w:p>
    <w:p w14:paraId="48D34A76">
      <w:pPr>
        <w:tabs>
          <w:tab w:val="left" w:pos="3855"/>
        </w:tabs>
        <w:spacing w:line="360" w:lineRule="auto"/>
        <w:outlineLvl w:val="1"/>
        <w:rPr>
          <w:rFonts w:ascii="宋体" w:hAnsi="宋体" w:cs="宋体"/>
          <w:szCs w:val="21"/>
        </w:rPr>
      </w:pPr>
      <w:bookmarkStart w:id="1194" w:name="_Toc497456479"/>
      <w:bookmarkStart w:id="1195" w:name="_Toc480486771"/>
      <w:bookmarkStart w:id="1196" w:name="_Toc489279900"/>
      <w:bookmarkStart w:id="1197" w:name="_Toc480486943"/>
      <w:bookmarkStart w:id="1198" w:name="_Toc342296303"/>
      <w:bookmarkStart w:id="1199" w:name="_Toc486580089"/>
      <w:bookmarkStart w:id="1200" w:name="_Toc490222534"/>
      <w:bookmarkStart w:id="1201" w:name="_Toc483668118"/>
      <w:bookmarkStart w:id="1202" w:name="_Toc338944745"/>
      <w:r>
        <w:rPr>
          <w:rFonts w:hint="eastAsia" w:ascii="宋体" w:hAnsi="宋体" w:cs="宋体"/>
          <w:szCs w:val="21"/>
        </w:rPr>
        <w:t>5.1  承包人提供的材料和工程设备</w:t>
      </w:r>
      <w:bookmarkEnd w:id="1194"/>
      <w:bookmarkEnd w:id="1195"/>
      <w:bookmarkEnd w:id="1196"/>
      <w:bookmarkEnd w:id="1197"/>
      <w:bookmarkEnd w:id="1198"/>
      <w:bookmarkEnd w:id="1199"/>
      <w:bookmarkEnd w:id="1200"/>
      <w:bookmarkEnd w:id="1201"/>
      <w:bookmarkEnd w:id="1202"/>
    </w:p>
    <w:p w14:paraId="6CDC67B5">
      <w:pPr>
        <w:tabs>
          <w:tab w:val="left" w:pos="3855"/>
        </w:tabs>
        <w:spacing w:line="360" w:lineRule="auto"/>
        <w:outlineLvl w:val="2"/>
        <w:rPr>
          <w:rFonts w:ascii="宋体" w:hAnsi="宋体" w:cs="宋体"/>
          <w:szCs w:val="21"/>
        </w:rPr>
      </w:pPr>
      <w:r>
        <w:rPr>
          <w:rFonts w:hint="eastAsia" w:ascii="宋体" w:hAnsi="宋体" w:cs="宋体"/>
          <w:szCs w:val="21"/>
        </w:rPr>
        <w:t>5.1.1  除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15.8.1项的约定，由发包人和承包人以招标方式确定专项供应商。承包人负责提供的主要材料和工程设备清单见合同条款专用部分“附件三：承包人提供的材料和工程设备一览表”。</w:t>
      </w:r>
    </w:p>
    <w:p w14:paraId="5E837899">
      <w:pPr>
        <w:tabs>
          <w:tab w:val="left" w:pos="3855"/>
        </w:tabs>
        <w:spacing w:line="360" w:lineRule="auto"/>
        <w:outlineLvl w:val="2"/>
        <w:rPr>
          <w:rFonts w:ascii="宋体" w:hAnsi="宋体" w:cs="宋体"/>
          <w:szCs w:val="21"/>
        </w:rPr>
      </w:pPr>
      <w:r>
        <w:rPr>
          <w:rFonts w:hint="eastAsia" w:ascii="宋体" w:hAnsi="宋体" w:cs="宋体"/>
          <w:szCs w:val="21"/>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14:paraId="74B66A82">
      <w:pPr>
        <w:tabs>
          <w:tab w:val="left" w:pos="3855"/>
        </w:tabs>
        <w:spacing w:line="360" w:lineRule="auto"/>
        <w:outlineLvl w:val="2"/>
        <w:rPr>
          <w:rFonts w:ascii="宋体" w:hAnsi="宋体" w:cs="宋体"/>
          <w:szCs w:val="21"/>
        </w:rPr>
      </w:pPr>
      <w:r>
        <w:rPr>
          <w:rFonts w:hint="eastAsia" w:ascii="宋体" w:hAnsi="宋体" w:cs="宋体"/>
          <w:szCs w:val="21"/>
        </w:rPr>
        <w:t>5.1.3  对承包人提供的材料和工程设备，承包人应会同监理人进行检验和交货验收，查验材料合格证明和产品合格证书，并按照合同约定和监理人指示，进行材料的抽样检验和工程设备的检验测试，检验和测试结果应提交监理人，所需费用由承包人承担。</w:t>
      </w:r>
    </w:p>
    <w:p w14:paraId="1520F0C5">
      <w:pPr>
        <w:tabs>
          <w:tab w:val="left" w:pos="3855"/>
        </w:tabs>
        <w:spacing w:line="360" w:lineRule="auto"/>
        <w:outlineLvl w:val="1"/>
        <w:rPr>
          <w:rFonts w:ascii="宋体" w:hAnsi="宋体" w:cs="宋体"/>
          <w:szCs w:val="21"/>
        </w:rPr>
      </w:pPr>
      <w:bookmarkStart w:id="1203" w:name="_Toc497456480"/>
      <w:bookmarkStart w:id="1204" w:name="_Toc338944746"/>
      <w:bookmarkStart w:id="1205" w:name="_Toc483668119"/>
      <w:bookmarkStart w:id="1206" w:name="_Toc342296304"/>
      <w:bookmarkStart w:id="1207" w:name="_Toc480486772"/>
      <w:bookmarkStart w:id="1208" w:name="_Toc486580090"/>
      <w:bookmarkStart w:id="1209" w:name="_Toc480486944"/>
      <w:bookmarkStart w:id="1210" w:name="_Toc489279901"/>
      <w:bookmarkStart w:id="1211" w:name="_Toc490222535"/>
      <w:r>
        <w:rPr>
          <w:rFonts w:hint="eastAsia" w:ascii="宋体" w:hAnsi="宋体" w:cs="宋体"/>
          <w:szCs w:val="21"/>
        </w:rPr>
        <w:t>5.2  发包人提供的材料和工程设备</w:t>
      </w:r>
      <w:bookmarkEnd w:id="1203"/>
      <w:bookmarkEnd w:id="1204"/>
      <w:bookmarkEnd w:id="1205"/>
      <w:bookmarkEnd w:id="1206"/>
      <w:bookmarkEnd w:id="1207"/>
      <w:bookmarkEnd w:id="1208"/>
      <w:bookmarkEnd w:id="1209"/>
      <w:bookmarkEnd w:id="1210"/>
      <w:bookmarkEnd w:id="1211"/>
    </w:p>
    <w:p w14:paraId="2BC16CA4">
      <w:pPr>
        <w:tabs>
          <w:tab w:val="left" w:pos="3855"/>
        </w:tabs>
        <w:spacing w:line="360" w:lineRule="auto"/>
        <w:outlineLvl w:val="2"/>
        <w:rPr>
          <w:rFonts w:ascii="宋体" w:hAnsi="宋体" w:cs="宋体"/>
          <w:szCs w:val="21"/>
        </w:rPr>
      </w:pPr>
      <w:r>
        <w:rPr>
          <w:rFonts w:hint="eastAsia" w:ascii="宋体" w:hAnsi="宋体" w:cs="宋体"/>
          <w:szCs w:val="21"/>
        </w:rPr>
        <w:t>5.2.1  发包人负责提供的材料和工程设备的名称、规格、数量、价格、交货方式、交货地点和计划交货日期等见合同条款专用部分“附件四：发包人提供的材料和工程设备一览表”。</w:t>
      </w:r>
    </w:p>
    <w:p w14:paraId="36719676">
      <w:pPr>
        <w:tabs>
          <w:tab w:val="left" w:pos="3855"/>
        </w:tabs>
        <w:spacing w:line="360" w:lineRule="auto"/>
        <w:outlineLvl w:val="2"/>
        <w:rPr>
          <w:rFonts w:ascii="宋体" w:hAnsi="宋体" w:cs="宋体"/>
          <w:szCs w:val="21"/>
        </w:rPr>
      </w:pPr>
      <w:r>
        <w:rPr>
          <w:rFonts w:hint="eastAsia" w:ascii="宋体" w:hAnsi="宋体" w:cs="宋体"/>
          <w:szCs w:val="21"/>
        </w:rPr>
        <w:t>5.2.2  承包人应根据合同进度计划的安排，向监理人报送要求发包人交货的日期计划。发包人应按照监理人与合同双方当事人商定的交货日期，向承包人提交材料和工程设备。</w:t>
      </w:r>
    </w:p>
    <w:p w14:paraId="3EA60043">
      <w:pPr>
        <w:tabs>
          <w:tab w:val="left" w:pos="3855"/>
        </w:tabs>
        <w:spacing w:line="360" w:lineRule="auto"/>
        <w:outlineLvl w:val="2"/>
        <w:rPr>
          <w:rFonts w:ascii="宋体" w:hAnsi="宋体" w:cs="宋体"/>
          <w:szCs w:val="21"/>
        </w:rPr>
      </w:pPr>
      <w:r>
        <w:rPr>
          <w:rFonts w:hint="eastAsia" w:ascii="宋体" w:hAnsi="宋体" w:cs="宋体"/>
          <w:szCs w:val="21"/>
        </w:rPr>
        <w:t>5.2.3  发包人应在材料和工程设备到货7天前通知承包人，承包人应会同监理人在约定的时间内，赴交货地点共同进行验收。由发包人提供的材料和工程设备验收后，由承包人负责接收、运输和保管。</w:t>
      </w:r>
    </w:p>
    <w:p w14:paraId="0164EA8D">
      <w:pPr>
        <w:tabs>
          <w:tab w:val="left" w:pos="3855"/>
        </w:tabs>
        <w:spacing w:line="360" w:lineRule="auto"/>
        <w:outlineLvl w:val="2"/>
        <w:rPr>
          <w:rFonts w:ascii="宋体" w:hAnsi="宋体" w:cs="宋体"/>
          <w:szCs w:val="21"/>
        </w:rPr>
      </w:pPr>
      <w:r>
        <w:rPr>
          <w:rFonts w:hint="eastAsia" w:ascii="宋体" w:hAnsi="宋体" w:cs="宋体"/>
          <w:szCs w:val="21"/>
        </w:rPr>
        <w:t xml:space="preserve">5.2.4  发包人要求向承包人提前交货的，承包人不得拒绝，但发包人应承担承包人由此增加的费用。 </w:t>
      </w:r>
    </w:p>
    <w:p w14:paraId="1786DF65">
      <w:pPr>
        <w:tabs>
          <w:tab w:val="left" w:pos="3855"/>
        </w:tabs>
        <w:spacing w:line="360" w:lineRule="auto"/>
        <w:outlineLvl w:val="2"/>
        <w:rPr>
          <w:rFonts w:ascii="宋体" w:hAnsi="宋体" w:cs="宋体"/>
          <w:szCs w:val="21"/>
        </w:rPr>
      </w:pPr>
      <w:r>
        <w:rPr>
          <w:rFonts w:hint="eastAsia" w:ascii="宋体" w:hAnsi="宋体" w:cs="宋体"/>
          <w:szCs w:val="21"/>
        </w:rPr>
        <w:t xml:space="preserve">5.2.5  承包人要求更改交货日期或地点的，应事先报请监理人批准。由于承包人要求更改交货时间或地点所增加的费用和（或）工期延误由承包人承担。 </w:t>
      </w:r>
    </w:p>
    <w:p w14:paraId="2C34D3B3">
      <w:pPr>
        <w:tabs>
          <w:tab w:val="left" w:pos="3855"/>
        </w:tabs>
        <w:spacing w:line="360" w:lineRule="auto"/>
        <w:outlineLvl w:val="2"/>
        <w:rPr>
          <w:rFonts w:ascii="宋体" w:hAnsi="宋体" w:cs="宋体"/>
          <w:szCs w:val="21"/>
        </w:rPr>
      </w:pPr>
      <w:r>
        <w:rPr>
          <w:rFonts w:hint="eastAsia" w:ascii="宋体" w:hAnsi="宋体" w:cs="宋体"/>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01AA4D3D">
      <w:pPr>
        <w:tabs>
          <w:tab w:val="left" w:pos="3855"/>
        </w:tabs>
        <w:spacing w:line="360" w:lineRule="auto"/>
        <w:outlineLvl w:val="1"/>
        <w:rPr>
          <w:rFonts w:ascii="宋体" w:hAnsi="宋体" w:cs="宋体"/>
          <w:szCs w:val="21"/>
        </w:rPr>
      </w:pPr>
      <w:bookmarkStart w:id="1212" w:name="_Toc480486945"/>
      <w:bookmarkStart w:id="1213" w:name="_Toc152045654"/>
      <w:bookmarkStart w:id="1214" w:name="_Toc486580091"/>
      <w:bookmarkStart w:id="1215" w:name="_Toc144974622"/>
      <w:bookmarkStart w:id="1216" w:name="_Toc338944747"/>
      <w:bookmarkStart w:id="1217" w:name="_Toc490222536"/>
      <w:bookmarkStart w:id="1218" w:name="_Toc179632672"/>
      <w:bookmarkStart w:id="1219" w:name="_Toc152042432"/>
      <w:bookmarkStart w:id="1220" w:name="_Toc483668120"/>
      <w:bookmarkStart w:id="1221" w:name="_Toc480486773"/>
      <w:bookmarkStart w:id="1222" w:name="_Toc497456481"/>
      <w:bookmarkStart w:id="1223" w:name="_Toc489279902"/>
      <w:bookmarkStart w:id="1224" w:name="_Toc342296305"/>
      <w:r>
        <w:rPr>
          <w:rFonts w:hint="eastAsia" w:ascii="宋体" w:hAnsi="宋体" w:cs="宋体"/>
          <w:szCs w:val="21"/>
        </w:rPr>
        <w:t>5.3  材料和工程设备专用于合同工程</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7D61D8C3">
      <w:pPr>
        <w:tabs>
          <w:tab w:val="left" w:pos="3855"/>
        </w:tabs>
        <w:spacing w:line="360" w:lineRule="auto"/>
        <w:outlineLvl w:val="2"/>
        <w:rPr>
          <w:rFonts w:ascii="宋体" w:hAnsi="宋体" w:cs="宋体"/>
          <w:szCs w:val="21"/>
        </w:rPr>
      </w:pPr>
      <w:r>
        <w:rPr>
          <w:rFonts w:hint="eastAsia" w:ascii="宋体" w:hAnsi="宋体" w:cs="宋体"/>
          <w:szCs w:val="21"/>
        </w:rPr>
        <w:t>5.3.1  运入施工场地的材料、工程设备，包括备品备件、安装专用工器具与随机资料，必须专用于合同工程，未经监理人同意，承包人不得运出施工场地或挪作他用。</w:t>
      </w:r>
    </w:p>
    <w:p w14:paraId="2DC5B0DC">
      <w:pPr>
        <w:tabs>
          <w:tab w:val="left" w:pos="3855"/>
        </w:tabs>
        <w:spacing w:line="360" w:lineRule="auto"/>
        <w:outlineLvl w:val="2"/>
        <w:rPr>
          <w:rFonts w:ascii="宋体" w:hAnsi="宋体" w:cs="宋体"/>
          <w:szCs w:val="21"/>
        </w:rPr>
      </w:pPr>
      <w:r>
        <w:rPr>
          <w:rFonts w:hint="eastAsia" w:ascii="宋体" w:hAnsi="宋体" w:cs="宋体"/>
          <w:szCs w:val="21"/>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41EA07F">
      <w:pPr>
        <w:tabs>
          <w:tab w:val="left" w:pos="3855"/>
        </w:tabs>
        <w:spacing w:line="360" w:lineRule="auto"/>
        <w:outlineLvl w:val="1"/>
        <w:rPr>
          <w:rFonts w:ascii="宋体" w:hAnsi="宋体" w:cs="宋体"/>
          <w:szCs w:val="21"/>
        </w:rPr>
      </w:pPr>
      <w:bookmarkStart w:id="1225" w:name="_Toc486580092"/>
      <w:bookmarkStart w:id="1226" w:name="_Toc483668121"/>
      <w:bookmarkStart w:id="1227" w:name="_Toc152045655"/>
      <w:bookmarkStart w:id="1228" w:name="_Toc480486774"/>
      <w:bookmarkStart w:id="1229" w:name="_Toc497456482"/>
      <w:bookmarkStart w:id="1230" w:name="_Toc338944748"/>
      <w:bookmarkStart w:id="1231" w:name="_Toc342296306"/>
      <w:bookmarkStart w:id="1232" w:name="_Toc152042433"/>
      <w:bookmarkStart w:id="1233" w:name="_Toc144974623"/>
      <w:bookmarkStart w:id="1234" w:name="_Toc490222537"/>
      <w:bookmarkStart w:id="1235" w:name="_Toc480486946"/>
      <w:bookmarkStart w:id="1236" w:name="_Toc489279903"/>
      <w:bookmarkStart w:id="1237" w:name="_Toc179632673"/>
      <w:r>
        <w:rPr>
          <w:rFonts w:hint="eastAsia" w:ascii="宋体" w:hAnsi="宋体" w:cs="宋体"/>
          <w:szCs w:val="21"/>
        </w:rPr>
        <w:t>5.4  禁止使用不合格的材料和工程设备</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75FFE0EE">
      <w:pPr>
        <w:tabs>
          <w:tab w:val="left" w:pos="3855"/>
        </w:tabs>
        <w:spacing w:line="360" w:lineRule="auto"/>
        <w:outlineLvl w:val="2"/>
        <w:rPr>
          <w:rFonts w:ascii="宋体" w:hAnsi="宋体" w:cs="宋体"/>
          <w:szCs w:val="21"/>
        </w:rPr>
      </w:pPr>
      <w:r>
        <w:rPr>
          <w:rFonts w:hint="eastAsia" w:ascii="宋体" w:hAnsi="宋体" w:cs="宋体"/>
          <w:szCs w:val="21"/>
        </w:rPr>
        <w:t>5.4.1  监理人有权拒绝承包人提供的不合格材料或工程设备，并要求承包人立即进行更换。监理人应在更换后再次进行检查和检验，由此增加的费用和（或）工期延误由承包人承担。</w:t>
      </w:r>
    </w:p>
    <w:p w14:paraId="7464FE86">
      <w:pPr>
        <w:tabs>
          <w:tab w:val="left" w:pos="3855"/>
        </w:tabs>
        <w:spacing w:line="360" w:lineRule="auto"/>
        <w:outlineLvl w:val="2"/>
        <w:rPr>
          <w:rFonts w:ascii="宋体" w:hAnsi="宋体" w:cs="宋体"/>
          <w:szCs w:val="21"/>
        </w:rPr>
      </w:pPr>
      <w:r>
        <w:rPr>
          <w:rFonts w:hint="eastAsia" w:ascii="宋体" w:hAnsi="宋体" w:cs="宋体"/>
          <w:szCs w:val="21"/>
        </w:rPr>
        <w:t>5.4.2  监理人发现承包人使用了不合格的材料和工程设备，应即时发出指示要求承包人立即改正，并禁止在工程中继续使用不合格的材料和工程设备。</w:t>
      </w:r>
    </w:p>
    <w:p w14:paraId="61854274">
      <w:pPr>
        <w:tabs>
          <w:tab w:val="left" w:pos="3855"/>
        </w:tabs>
        <w:spacing w:line="360" w:lineRule="auto"/>
        <w:outlineLvl w:val="2"/>
        <w:rPr>
          <w:rFonts w:ascii="宋体" w:hAnsi="宋体" w:cs="宋体"/>
          <w:szCs w:val="21"/>
        </w:rPr>
      </w:pPr>
      <w:r>
        <w:rPr>
          <w:rFonts w:hint="eastAsia" w:ascii="宋体" w:hAnsi="宋体" w:cs="宋体"/>
          <w:szCs w:val="21"/>
        </w:rPr>
        <w:t>5.4.3  发包人提供的材料或工程设备不符合合同要求的，承包人有权拒绝，并可要求发包人更换，由此增加的费用和（或）工期延误由发包人承担。</w:t>
      </w:r>
    </w:p>
    <w:p w14:paraId="50534C02">
      <w:pPr>
        <w:tabs>
          <w:tab w:val="left" w:pos="3855"/>
        </w:tabs>
        <w:spacing w:line="360" w:lineRule="auto"/>
        <w:outlineLvl w:val="0"/>
        <w:rPr>
          <w:rFonts w:ascii="宋体" w:hAnsi="宋体" w:cs="宋体"/>
          <w:szCs w:val="21"/>
        </w:rPr>
      </w:pPr>
      <w:bookmarkStart w:id="1238" w:name="_Toc480486947"/>
      <w:bookmarkStart w:id="1239" w:name="_Toc497456483"/>
      <w:bookmarkStart w:id="1240" w:name="_Toc338944749"/>
      <w:bookmarkStart w:id="1241" w:name="_Toc489279904"/>
      <w:bookmarkStart w:id="1242" w:name="_Toc480486775"/>
      <w:bookmarkStart w:id="1243" w:name="_Toc342296307"/>
      <w:bookmarkStart w:id="1244" w:name="_Toc483668122"/>
      <w:bookmarkStart w:id="1245" w:name="_Toc486580093"/>
      <w:bookmarkStart w:id="1246" w:name="_Toc490222538"/>
      <w:r>
        <w:rPr>
          <w:rFonts w:hint="eastAsia" w:ascii="宋体" w:hAnsi="宋体" w:cs="宋体"/>
          <w:szCs w:val="21"/>
        </w:rPr>
        <w:t>6.施工设备和临时设施</w:t>
      </w:r>
      <w:bookmarkEnd w:id="1238"/>
      <w:bookmarkEnd w:id="1239"/>
      <w:bookmarkEnd w:id="1240"/>
      <w:bookmarkEnd w:id="1241"/>
      <w:bookmarkEnd w:id="1242"/>
      <w:bookmarkEnd w:id="1243"/>
      <w:bookmarkEnd w:id="1244"/>
      <w:bookmarkEnd w:id="1245"/>
      <w:bookmarkEnd w:id="1246"/>
    </w:p>
    <w:p w14:paraId="2697C9D6">
      <w:pPr>
        <w:tabs>
          <w:tab w:val="left" w:pos="3855"/>
        </w:tabs>
        <w:spacing w:line="360" w:lineRule="auto"/>
        <w:outlineLvl w:val="1"/>
        <w:rPr>
          <w:rFonts w:ascii="宋体" w:hAnsi="宋体" w:cs="宋体"/>
          <w:szCs w:val="21"/>
        </w:rPr>
      </w:pPr>
      <w:bookmarkStart w:id="1247" w:name="_Toc480486948"/>
      <w:bookmarkStart w:id="1248" w:name="_Toc480486776"/>
      <w:bookmarkStart w:id="1249" w:name="_Toc497456484"/>
      <w:bookmarkStart w:id="1250" w:name="_Toc338944750"/>
      <w:bookmarkStart w:id="1251" w:name="_Toc489279905"/>
      <w:bookmarkStart w:id="1252" w:name="_Toc342296308"/>
      <w:bookmarkStart w:id="1253" w:name="_Toc483668123"/>
      <w:bookmarkStart w:id="1254" w:name="_Toc486580094"/>
      <w:bookmarkStart w:id="1255" w:name="_Toc490222539"/>
      <w:r>
        <w:rPr>
          <w:rFonts w:hint="eastAsia" w:ascii="宋体" w:hAnsi="宋体" w:cs="宋体"/>
          <w:szCs w:val="21"/>
        </w:rPr>
        <w:t>6.1  承包人提供的施工设备和临时设施</w:t>
      </w:r>
      <w:bookmarkEnd w:id="1247"/>
      <w:bookmarkEnd w:id="1248"/>
      <w:bookmarkEnd w:id="1249"/>
      <w:bookmarkEnd w:id="1250"/>
      <w:bookmarkEnd w:id="1251"/>
      <w:bookmarkEnd w:id="1252"/>
      <w:bookmarkEnd w:id="1253"/>
      <w:bookmarkEnd w:id="1254"/>
      <w:bookmarkEnd w:id="1255"/>
    </w:p>
    <w:p w14:paraId="2826D9CE">
      <w:pPr>
        <w:tabs>
          <w:tab w:val="left" w:pos="3855"/>
        </w:tabs>
        <w:spacing w:line="360" w:lineRule="auto"/>
        <w:outlineLvl w:val="2"/>
        <w:rPr>
          <w:rFonts w:ascii="宋体" w:hAnsi="宋体" w:cs="宋体"/>
          <w:szCs w:val="21"/>
        </w:rPr>
      </w:pPr>
      <w:r>
        <w:rPr>
          <w:rFonts w:hint="eastAsia" w:ascii="宋体" w:hAnsi="宋体" w:cs="宋体"/>
          <w:szCs w:val="21"/>
        </w:rPr>
        <w:t>6.1.1  承包人应按合同进度计划的要求，及时配置施工设备和修建临时设施。进入施工场地的承包人设备需经监理人核查后才能投入使用。承包人更换合同约定的承包人设备的，应报监理人批准。</w:t>
      </w:r>
    </w:p>
    <w:p w14:paraId="757E7D1D">
      <w:pPr>
        <w:tabs>
          <w:tab w:val="left" w:pos="3855"/>
        </w:tabs>
        <w:spacing w:line="360" w:lineRule="auto"/>
        <w:outlineLvl w:val="2"/>
        <w:rPr>
          <w:rFonts w:ascii="宋体" w:hAnsi="宋体" w:cs="宋体"/>
          <w:szCs w:val="21"/>
        </w:rPr>
      </w:pPr>
      <w:r>
        <w:rPr>
          <w:rFonts w:hint="eastAsia" w:ascii="宋体" w:hAnsi="宋体" w:cs="宋体"/>
          <w:szCs w:val="21"/>
        </w:rPr>
        <w:t>6.1.2  除合同另有约定外，承包人应承担自行修建临时设施的费用。需要临时占地的，应由发包人办理申请手续并承担相应费用。承包人自行修建临时设施的范围以及所需临时占地见合同条款专用部分。</w:t>
      </w:r>
    </w:p>
    <w:p w14:paraId="1092B41B">
      <w:pPr>
        <w:tabs>
          <w:tab w:val="left" w:pos="3855"/>
        </w:tabs>
        <w:spacing w:line="360" w:lineRule="auto"/>
        <w:outlineLvl w:val="1"/>
        <w:rPr>
          <w:rFonts w:ascii="宋体" w:hAnsi="宋体" w:cs="宋体"/>
          <w:szCs w:val="21"/>
        </w:rPr>
      </w:pPr>
      <w:bookmarkStart w:id="1256" w:name="_Toc480486777"/>
      <w:bookmarkStart w:id="1257" w:name="_Toc489279906"/>
      <w:bookmarkStart w:id="1258" w:name="_Toc342296309"/>
      <w:bookmarkStart w:id="1259" w:name="_Toc483668124"/>
      <w:bookmarkStart w:id="1260" w:name="_Toc486580095"/>
      <w:bookmarkStart w:id="1261" w:name="_Toc480486949"/>
      <w:bookmarkStart w:id="1262" w:name="_Toc497456485"/>
      <w:bookmarkStart w:id="1263" w:name="_Toc338944751"/>
      <w:bookmarkStart w:id="1264" w:name="_Toc490222540"/>
      <w:r>
        <w:rPr>
          <w:rFonts w:hint="eastAsia" w:ascii="宋体" w:hAnsi="宋体" w:cs="宋体"/>
          <w:szCs w:val="21"/>
        </w:rPr>
        <w:t>6.2  发包人提供的施工设备和临时设施</w:t>
      </w:r>
      <w:bookmarkEnd w:id="1256"/>
      <w:bookmarkEnd w:id="1257"/>
      <w:bookmarkEnd w:id="1258"/>
      <w:bookmarkEnd w:id="1259"/>
      <w:bookmarkEnd w:id="1260"/>
      <w:bookmarkEnd w:id="1261"/>
      <w:bookmarkEnd w:id="1262"/>
      <w:bookmarkEnd w:id="1263"/>
      <w:bookmarkEnd w:id="1264"/>
    </w:p>
    <w:p w14:paraId="671418F1">
      <w:pPr>
        <w:tabs>
          <w:tab w:val="left" w:pos="3855"/>
        </w:tabs>
        <w:spacing w:line="360" w:lineRule="auto"/>
        <w:rPr>
          <w:rFonts w:ascii="宋体" w:hAnsi="宋体" w:cs="宋体"/>
          <w:szCs w:val="21"/>
        </w:rPr>
      </w:pPr>
      <w:r>
        <w:rPr>
          <w:rFonts w:hint="eastAsia" w:ascii="宋体" w:hAnsi="宋体" w:cs="宋体"/>
          <w:szCs w:val="21"/>
        </w:rPr>
        <w:t>发包人提供的施工设备或临时设施，以及相关运行、维护、拆除、清运费用的承担人见合同条款专用部分。</w:t>
      </w:r>
    </w:p>
    <w:p w14:paraId="090DCB0B">
      <w:pPr>
        <w:tabs>
          <w:tab w:val="left" w:pos="3855"/>
        </w:tabs>
        <w:spacing w:line="360" w:lineRule="auto"/>
        <w:outlineLvl w:val="1"/>
        <w:rPr>
          <w:rFonts w:ascii="宋体" w:hAnsi="宋体" w:cs="宋体"/>
          <w:szCs w:val="21"/>
        </w:rPr>
      </w:pPr>
      <w:bookmarkStart w:id="1265" w:name="_Toc480486778"/>
      <w:bookmarkStart w:id="1266" w:name="_Toc179632677"/>
      <w:bookmarkStart w:id="1267" w:name="_Toc480486950"/>
      <w:bookmarkStart w:id="1268" w:name="_Toc489279907"/>
      <w:bookmarkStart w:id="1269" w:name="_Toc486580096"/>
      <w:bookmarkStart w:id="1270" w:name="_Toc497456486"/>
      <w:bookmarkStart w:id="1271" w:name="_Toc483668125"/>
      <w:bookmarkStart w:id="1272" w:name="_Toc152045659"/>
      <w:bookmarkStart w:id="1273" w:name="_Toc144974627"/>
      <w:bookmarkStart w:id="1274" w:name="_Toc342296310"/>
      <w:bookmarkStart w:id="1275" w:name="_Toc338944752"/>
      <w:bookmarkStart w:id="1276" w:name="_Toc152042437"/>
      <w:bookmarkStart w:id="1277" w:name="_Toc490222541"/>
      <w:r>
        <w:rPr>
          <w:rFonts w:hint="eastAsia" w:ascii="宋体" w:hAnsi="宋体" w:cs="宋体"/>
          <w:szCs w:val="21"/>
        </w:rPr>
        <w:t>6.3  要求承包人增加或更换施工设备</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71331147">
      <w:pPr>
        <w:tabs>
          <w:tab w:val="left" w:pos="3855"/>
        </w:tabs>
        <w:spacing w:line="360" w:lineRule="auto"/>
        <w:rPr>
          <w:rFonts w:ascii="宋体" w:hAnsi="宋体" w:cs="宋体"/>
          <w:szCs w:val="21"/>
        </w:rPr>
      </w:pPr>
      <w:r>
        <w:rPr>
          <w:rFonts w:hint="eastAsia" w:ascii="宋体" w:hAnsi="宋体" w:cs="宋体"/>
          <w:szCs w:val="21"/>
        </w:rPr>
        <w:t>承包人使用的施工设备不能满足合同进度计划和（或）质量要求时，监理人有权要求承包人增加或更换施工设备，承包人应及时增加或更换，由此增加的费用和（或）工期延误由承包人承担。</w:t>
      </w:r>
    </w:p>
    <w:p w14:paraId="4F2AB80B">
      <w:pPr>
        <w:tabs>
          <w:tab w:val="left" w:pos="3855"/>
        </w:tabs>
        <w:spacing w:line="360" w:lineRule="auto"/>
        <w:outlineLvl w:val="1"/>
        <w:rPr>
          <w:rFonts w:ascii="宋体" w:hAnsi="宋体" w:cs="宋体"/>
          <w:szCs w:val="21"/>
        </w:rPr>
      </w:pPr>
      <w:bookmarkStart w:id="1278" w:name="_Toc486580097"/>
      <w:bookmarkStart w:id="1279" w:name="_Toc480486951"/>
      <w:bookmarkStart w:id="1280" w:name="_Toc338944753"/>
      <w:bookmarkStart w:id="1281" w:name="_Toc497456487"/>
      <w:bookmarkStart w:id="1282" w:name="_Toc483668126"/>
      <w:bookmarkStart w:id="1283" w:name="_Toc480486779"/>
      <w:bookmarkStart w:id="1284" w:name="_Toc489279908"/>
      <w:bookmarkStart w:id="1285" w:name="_Toc490222542"/>
      <w:bookmarkStart w:id="1286" w:name="_Toc342296311"/>
      <w:r>
        <w:rPr>
          <w:rFonts w:hint="eastAsia" w:ascii="宋体" w:hAnsi="宋体" w:cs="宋体"/>
          <w:szCs w:val="21"/>
        </w:rPr>
        <w:t>6.4  施工设备和临时设施专用于合同工程</w:t>
      </w:r>
      <w:bookmarkEnd w:id="1278"/>
      <w:bookmarkEnd w:id="1279"/>
      <w:bookmarkEnd w:id="1280"/>
      <w:bookmarkEnd w:id="1281"/>
      <w:bookmarkEnd w:id="1282"/>
      <w:bookmarkEnd w:id="1283"/>
      <w:bookmarkEnd w:id="1284"/>
      <w:bookmarkEnd w:id="1285"/>
      <w:bookmarkEnd w:id="1286"/>
    </w:p>
    <w:p w14:paraId="34E36386">
      <w:pPr>
        <w:tabs>
          <w:tab w:val="left" w:pos="3855"/>
        </w:tabs>
        <w:spacing w:line="360" w:lineRule="auto"/>
        <w:outlineLvl w:val="2"/>
        <w:rPr>
          <w:rFonts w:ascii="宋体" w:hAnsi="宋体" w:cs="宋体"/>
          <w:szCs w:val="21"/>
        </w:rPr>
      </w:pPr>
      <w:r>
        <w:rPr>
          <w:rFonts w:hint="eastAsia" w:ascii="宋体" w:hAnsi="宋体" w:cs="宋体"/>
          <w:szCs w:val="21"/>
        </w:rPr>
        <w:t>6.4.1  除为第4.1.8项约定的其他独立承包人和监理人指示的他人提供条件外,承包人运入施工场地的所有施工设备以及在施工场地建设的临时设施仅限于用于合同工程。未经监理人同意，不得将上述施工设备和临时设施中的任何部分运出施工场地或挪作他用。</w:t>
      </w:r>
    </w:p>
    <w:p w14:paraId="126DEA3E">
      <w:pPr>
        <w:tabs>
          <w:tab w:val="left" w:pos="3855"/>
        </w:tabs>
        <w:spacing w:line="360" w:lineRule="auto"/>
        <w:outlineLvl w:val="2"/>
        <w:rPr>
          <w:rFonts w:ascii="宋体" w:hAnsi="宋体" w:cs="宋体"/>
          <w:szCs w:val="21"/>
        </w:rPr>
      </w:pPr>
      <w:r>
        <w:rPr>
          <w:rFonts w:hint="eastAsia" w:ascii="宋体" w:hAnsi="宋体" w:cs="宋体"/>
          <w:szCs w:val="21"/>
        </w:rPr>
        <w:t>6.4.2  经监理人同意，承包人可根据合同进度计划撤走闲置的施工设备。</w:t>
      </w:r>
    </w:p>
    <w:p w14:paraId="1DC008D8">
      <w:pPr>
        <w:tabs>
          <w:tab w:val="left" w:pos="3855"/>
        </w:tabs>
        <w:spacing w:line="360" w:lineRule="auto"/>
        <w:outlineLvl w:val="0"/>
        <w:rPr>
          <w:rFonts w:ascii="宋体" w:hAnsi="宋体" w:cs="宋体"/>
          <w:szCs w:val="21"/>
        </w:rPr>
      </w:pPr>
      <w:bookmarkStart w:id="1287" w:name="_Toc489279909"/>
      <w:bookmarkStart w:id="1288" w:name="_Toc480486952"/>
      <w:bookmarkStart w:id="1289" w:name="_Toc497456488"/>
      <w:bookmarkStart w:id="1290" w:name="_Toc483668127"/>
      <w:bookmarkStart w:id="1291" w:name="_Toc490222543"/>
      <w:bookmarkStart w:id="1292" w:name="_Toc480486780"/>
      <w:bookmarkStart w:id="1293" w:name="_Toc486580098"/>
      <w:bookmarkStart w:id="1294" w:name="_Toc342296312"/>
      <w:bookmarkStart w:id="1295" w:name="_Toc338944754"/>
      <w:r>
        <w:rPr>
          <w:rFonts w:hint="eastAsia" w:ascii="宋体" w:hAnsi="宋体" w:cs="宋体"/>
          <w:szCs w:val="21"/>
        </w:rPr>
        <w:t>7.交通运输</w:t>
      </w:r>
      <w:bookmarkEnd w:id="1287"/>
      <w:bookmarkEnd w:id="1288"/>
      <w:bookmarkEnd w:id="1289"/>
      <w:bookmarkEnd w:id="1290"/>
      <w:bookmarkEnd w:id="1291"/>
      <w:bookmarkEnd w:id="1292"/>
      <w:bookmarkEnd w:id="1293"/>
      <w:bookmarkEnd w:id="1294"/>
      <w:bookmarkEnd w:id="1295"/>
    </w:p>
    <w:p w14:paraId="6B200269">
      <w:pPr>
        <w:tabs>
          <w:tab w:val="left" w:pos="3855"/>
        </w:tabs>
        <w:spacing w:line="360" w:lineRule="auto"/>
        <w:outlineLvl w:val="1"/>
        <w:rPr>
          <w:rFonts w:ascii="宋体" w:hAnsi="宋体" w:cs="宋体"/>
          <w:szCs w:val="21"/>
        </w:rPr>
      </w:pPr>
      <w:bookmarkStart w:id="1296" w:name="_Toc497456489"/>
      <w:bookmarkStart w:id="1297" w:name="_Toc486580099"/>
      <w:bookmarkStart w:id="1298" w:name="_Toc338944755"/>
      <w:bookmarkStart w:id="1299" w:name="_Toc490222544"/>
      <w:bookmarkStart w:id="1300" w:name="_Toc480486781"/>
      <w:bookmarkStart w:id="1301" w:name="_Toc480486953"/>
      <w:bookmarkStart w:id="1302" w:name="_Toc483668128"/>
      <w:bookmarkStart w:id="1303" w:name="_Toc342296313"/>
      <w:bookmarkStart w:id="1304" w:name="_Toc489279910"/>
      <w:r>
        <w:rPr>
          <w:rFonts w:hint="eastAsia" w:ascii="宋体" w:hAnsi="宋体" w:cs="宋体"/>
          <w:szCs w:val="21"/>
        </w:rPr>
        <w:t>7.1  道路通行权和场外设施</w:t>
      </w:r>
      <w:bookmarkEnd w:id="1296"/>
      <w:bookmarkEnd w:id="1297"/>
      <w:bookmarkEnd w:id="1298"/>
      <w:bookmarkEnd w:id="1299"/>
      <w:bookmarkEnd w:id="1300"/>
      <w:bookmarkEnd w:id="1301"/>
      <w:bookmarkEnd w:id="1302"/>
      <w:bookmarkEnd w:id="1303"/>
      <w:bookmarkEnd w:id="1304"/>
    </w:p>
    <w:p w14:paraId="46095BF9">
      <w:pPr>
        <w:tabs>
          <w:tab w:val="left" w:pos="3855"/>
        </w:tabs>
        <w:spacing w:line="360" w:lineRule="auto"/>
        <w:rPr>
          <w:rFonts w:ascii="宋体" w:hAnsi="宋体" w:cs="宋体"/>
          <w:szCs w:val="21"/>
        </w:rPr>
      </w:pPr>
      <w:r>
        <w:rPr>
          <w:rFonts w:hint="eastAsia" w:ascii="宋体" w:hAnsi="宋体" w:cs="宋体"/>
          <w:szCs w:val="21"/>
        </w:rPr>
        <w:t>除合同条款专用部分另有约定外，发包人应根据合同工程的施工需要，负责办理取得出入施工场地的专用和临时道路的通行权，以及取得为工程建设所需修建场外设施的权利，并承担有关费用。承包人应协助发包人办理上述手续。</w:t>
      </w:r>
    </w:p>
    <w:p w14:paraId="701A3399">
      <w:pPr>
        <w:tabs>
          <w:tab w:val="left" w:pos="3855"/>
        </w:tabs>
        <w:spacing w:line="360" w:lineRule="auto"/>
        <w:outlineLvl w:val="1"/>
        <w:rPr>
          <w:rFonts w:ascii="宋体" w:hAnsi="宋体" w:cs="宋体"/>
          <w:szCs w:val="21"/>
        </w:rPr>
      </w:pPr>
      <w:bookmarkStart w:id="1305" w:name="_Toc497456490"/>
      <w:bookmarkStart w:id="1306" w:name="_Toc480486782"/>
      <w:bookmarkStart w:id="1307" w:name="_Toc483668129"/>
      <w:bookmarkStart w:id="1308" w:name="_Toc486580100"/>
      <w:bookmarkStart w:id="1309" w:name="_Toc480486954"/>
      <w:bookmarkStart w:id="1310" w:name="_Toc490222545"/>
      <w:bookmarkStart w:id="1311" w:name="_Toc342296314"/>
      <w:bookmarkStart w:id="1312" w:name="_Toc338944756"/>
      <w:bookmarkStart w:id="1313" w:name="_Toc489279911"/>
      <w:r>
        <w:rPr>
          <w:rFonts w:hint="eastAsia" w:ascii="宋体" w:hAnsi="宋体" w:cs="宋体"/>
          <w:szCs w:val="21"/>
        </w:rPr>
        <w:t>7.2  场内施工道路</w:t>
      </w:r>
      <w:bookmarkEnd w:id="1305"/>
      <w:bookmarkEnd w:id="1306"/>
      <w:bookmarkEnd w:id="1307"/>
      <w:bookmarkEnd w:id="1308"/>
      <w:bookmarkEnd w:id="1309"/>
      <w:bookmarkEnd w:id="1310"/>
      <w:bookmarkEnd w:id="1311"/>
      <w:bookmarkEnd w:id="1312"/>
      <w:bookmarkEnd w:id="1313"/>
    </w:p>
    <w:p w14:paraId="383A741C">
      <w:pPr>
        <w:tabs>
          <w:tab w:val="left" w:pos="3855"/>
        </w:tabs>
        <w:spacing w:line="360" w:lineRule="auto"/>
        <w:outlineLvl w:val="2"/>
        <w:rPr>
          <w:rFonts w:ascii="宋体" w:hAnsi="宋体" w:cs="宋体"/>
          <w:szCs w:val="21"/>
        </w:rPr>
      </w:pPr>
      <w:r>
        <w:rPr>
          <w:rFonts w:hint="eastAsia" w:ascii="宋体" w:hAnsi="宋体" w:cs="宋体"/>
          <w:szCs w:val="21"/>
        </w:rPr>
        <w:t>7.2.1  除合同条款专用部分另有约定外，承包人应负责修建、维修、养护和管理施工所需的临时道路和交通设施，包括维修、养护和管理发包人提供的道路和交通设施，并承担相应费用。</w:t>
      </w:r>
    </w:p>
    <w:p w14:paraId="35853602">
      <w:pPr>
        <w:tabs>
          <w:tab w:val="left" w:pos="3855"/>
        </w:tabs>
        <w:spacing w:line="360" w:lineRule="auto"/>
        <w:outlineLvl w:val="2"/>
        <w:rPr>
          <w:rFonts w:ascii="宋体" w:hAnsi="宋体" w:cs="宋体"/>
          <w:szCs w:val="21"/>
        </w:rPr>
      </w:pPr>
      <w:r>
        <w:rPr>
          <w:rFonts w:hint="eastAsia" w:ascii="宋体" w:hAnsi="宋体" w:cs="宋体"/>
          <w:szCs w:val="21"/>
        </w:rPr>
        <w:t>7.2.2  发包人和监理人有权无偿使用承包人修建的临时道路和交通设施，不需要交纳任何费用。</w:t>
      </w:r>
    </w:p>
    <w:p w14:paraId="5275AA6A">
      <w:pPr>
        <w:tabs>
          <w:tab w:val="left" w:pos="3855"/>
        </w:tabs>
        <w:spacing w:line="360" w:lineRule="auto"/>
        <w:outlineLvl w:val="1"/>
        <w:rPr>
          <w:rFonts w:ascii="宋体" w:hAnsi="宋体" w:cs="宋体"/>
          <w:szCs w:val="21"/>
        </w:rPr>
      </w:pPr>
      <w:bookmarkStart w:id="1314" w:name="_Toc480486955"/>
      <w:bookmarkStart w:id="1315" w:name="_Toc483668130"/>
      <w:bookmarkStart w:id="1316" w:name="_Toc179632682"/>
      <w:bookmarkStart w:id="1317" w:name="_Toc338944757"/>
      <w:bookmarkStart w:id="1318" w:name="_Toc152042442"/>
      <w:bookmarkStart w:id="1319" w:name="_Toc342296315"/>
      <w:bookmarkStart w:id="1320" w:name="_Toc490222546"/>
      <w:bookmarkStart w:id="1321" w:name="_Toc489279912"/>
      <w:bookmarkStart w:id="1322" w:name="_Toc144974632"/>
      <w:bookmarkStart w:id="1323" w:name="_Toc480486783"/>
      <w:bookmarkStart w:id="1324" w:name="_Toc497456491"/>
      <w:bookmarkStart w:id="1325" w:name="_Toc152045664"/>
      <w:bookmarkStart w:id="1326" w:name="_Toc486580101"/>
      <w:r>
        <w:rPr>
          <w:rFonts w:hint="eastAsia" w:ascii="宋体" w:hAnsi="宋体" w:cs="宋体"/>
          <w:szCs w:val="21"/>
        </w:rPr>
        <w:t>7.3  场外交通</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07178D7C">
      <w:pPr>
        <w:tabs>
          <w:tab w:val="left" w:pos="3855"/>
        </w:tabs>
        <w:spacing w:line="360" w:lineRule="auto"/>
        <w:outlineLvl w:val="2"/>
        <w:rPr>
          <w:rFonts w:ascii="宋体" w:hAnsi="宋体" w:cs="宋体"/>
          <w:szCs w:val="21"/>
        </w:rPr>
      </w:pPr>
      <w:r>
        <w:rPr>
          <w:rFonts w:hint="eastAsia" w:ascii="宋体" w:hAnsi="宋体" w:cs="宋体"/>
          <w:szCs w:val="21"/>
        </w:rPr>
        <w:t>7.3.1  承包人车辆外出行驶所需的场外公共道路的通行费、养路费和税款等由承包人承担。</w:t>
      </w:r>
    </w:p>
    <w:p w14:paraId="2D9B93E2">
      <w:pPr>
        <w:tabs>
          <w:tab w:val="left" w:pos="3855"/>
        </w:tabs>
        <w:spacing w:line="360" w:lineRule="auto"/>
        <w:outlineLvl w:val="2"/>
        <w:rPr>
          <w:rFonts w:ascii="宋体" w:hAnsi="宋体" w:cs="宋体"/>
          <w:szCs w:val="21"/>
        </w:rPr>
      </w:pPr>
      <w:r>
        <w:rPr>
          <w:rFonts w:hint="eastAsia" w:ascii="宋体" w:hAnsi="宋体" w:cs="宋体"/>
          <w:szCs w:val="21"/>
        </w:rPr>
        <w:t>7.3.2  承包人应遵守有关交通法规，严格按照道路和桥梁的限制荷重安全行驶，并服从交通管理部门的检查和监督。</w:t>
      </w:r>
    </w:p>
    <w:p w14:paraId="448503AB">
      <w:pPr>
        <w:tabs>
          <w:tab w:val="left" w:pos="3855"/>
        </w:tabs>
        <w:spacing w:line="360" w:lineRule="auto"/>
        <w:outlineLvl w:val="1"/>
        <w:rPr>
          <w:rFonts w:ascii="宋体" w:hAnsi="宋体" w:cs="宋体"/>
          <w:szCs w:val="21"/>
        </w:rPr>
      </w:pPr>
      <w:bookmarkStart w:id="1327" w:name="_Toc480486784"/>
      <w:bookmarkStart w:id="1328" w:name="_Toc489279913"/>
      <w:bookmarkStart w:id="1329" w:name="_Toc490222547"/>
      <w:bookmarkStart w:id="1330" w:name="_Toc486580102"/>
      <w:bookmarkStart w:id="1331" w:name="_Toc480486956"/>
      <w:bookmarkStart w:id="1332" w:name="_Toc483668131"/>
      <w:bookmarkStart w:id="1333" w:name="_Toc497456492"/>
      <w:bookmarkStart w:id="1334" w:name="_Toc338944758"/>
      <w:bookmarkStart w:id="1335" w:name="_Toc342296316"/>
      <w:r>
        <w:rPr>
          <w:rFonts w:hint="eastAsia" w:ascii="宋体" w:hAnsi="宋体" w:cs="宋体"/>
          <w:szCs w:val="21"/>
        </w:rPr>
        <w:t>7.4  超大件和超重件的运输</w:t>
      </w:r>
      <w:bookmarkEnd w:id="1327"/>
      <w:bookmarkEnd w:id="1328"/>
      <w:bookmarkEnd w:id="1329"/>
      <w:bookmarkEnd w:id="1330"/>
      <w:bookmarkEnd w:id="1331"/>
      <w:bookmarkEnd w:id="1332"/>
      <w:bookmarkEnd w:id="1333"/>
      <w:bookmarkEnd w:id="1334"/>
      <w:bookmarkEnd w:id="1335"/>
    </w:p>
    <w:p w14:paraId="3DEA844C">
      <w:pPr>
        <w:tabs>
          <w:tab w:val="left" w:pos="3855"/>
        </w:tabs>
        <w:spacing w:line="360" w:lineRule="auto"/>
        <w:rPr>
          <w:rFonts w:ascii="宋体" w:hAnsi="宋体" w:cs="宋体"/>
          <w:szCs w:val="21"/>
        </w:rPr>
      </w:pPr>
      <w:r>
        <w:rPr>
          <w:rFonts w:hint="eastAsia" w:ascii="宋体" w:hAnsi="宋体" w:cs="宋体"/>
          <w:szCs w:val="21"/>
        </w:rPr>
        <w:t>由承包人负责运输的超大件或超重件，应由承包人负责向交通管理部门办理申请手续，发包人给予协助。运输超大件或超重件所需的道路和桥梁临时加固改造费用和其他有关费用，由承包人承担，但合同条款专用部分另有约定除外。</w:t>
      </w:r>
    </w:p>
    <w:p w14:paraId="68E234E5">
      <w:pPr>
        <w:tabs>
          <w:tab w:val="left" w:pos="3855"/>
        </w:tabs>
        <w:spacing w:line="360" w:lineRule="auto"/>
        <w:outlineLvl w:val="1"/>
        <w:rPr>
          <w:rFonts w:ascii="宋体" w:hAnsi="宋体" w:cs="宋体"/>
          <w:szCs w:val="21"/>
        </w:rPr>
      </w:pPr>
      <w:bookmarkStart w:id="1336" w:name="_Toc483668132"/>
      <w:bookmarkStart w:id="1337" w:name="_Toc342296317"/>
      <w:bookmarkStart w:id="1338" w:name="_Toc489279914"/>
      <w:bookmarkStart w:id="1339" w:name="_Toc497456493"/>
      <w:bookmarkStart w:id="1340" w:name="_Toc490222548"/>
      <w:bookmarkStart w:id="1341" w:name="_Toc338944759"/>
      <w:bookmarkStart w:id="1342" w:name="_Toc480486785"/>
      <w:bookmarkStart w:id="1343" w:name="_Toc486580103"/>
      <w:bookmarkStart w:id="1344" w:name="_Toc480486957"/>
      <w:r>
        <w:rPr>
          <w:rFonts w:hint="eastAsia" w:ascii="宋体" w:hAnsi="宋体" w:cs="宋体"/>
          <w:szCs w:val="21"/>
        </w:rPr>
        <w:t>7.5  道路和桥梁的损坏责任</w:t>
      </w:r>
      <w:bookmarkEnd w:id="1336"/>
      <w:bookmarkEnd w:id="1337"/>
      <w:bookmarkEnd w:id="1338"/>
      <w:bookmarkEnd w:id="1339"/>
      <w:bookmarkEnd w:id="1340"/>
      <w:bookmarkEnd w:id="1341"/>
      <w:bookmarkEnd w:id="1342"/>
      <w:bookmarkEnd w:id="1343"/>
      <w:bookmarkEnd w:id="1344"/>
    </w:p>
    <w:p w14:paraId="49141480">
      <w:pPr>
        <w:tabs>
          <w:tab w:val="left" w:pos="3855"/>
        </w:tabs>
        <w:spacing w:line="360" w:lineRule="auto"/>
        <w:rPr>
          <w:rFonts w:ascii="宋体" w:hAnsi="宋体" w:cs="宋体"/>
          <w:szCs w:val="21"/>
        </w:rPr>
      </w:pPr>
      <w:r>
        <w:rPr>
          <w:rFonts w:hint="eastAsia" w:ascii="宋体" w:hAnsi="宋体" w:cs="宋体"/>
          <w:szCs w:val="21"/>
        </w:rPr>
        <w:t>因承包人运输造成施工场地内外公共道路和桥梁损坏的，由承包人承担修复损坏的全部费用和可能引起的赔偿。</w:t>
      </w:r>
    </w:p>
    <w:p w14:paraId="22634E24">
      <w:pPr>
        <w:tabs>
          <w:tab w:val="left" w:pos="3855"/>
        </w:tabs>
        <w:spacing w:line="360" w:lineRule="auto"/>
        <w:outlineLvl w:val="1"/>
        <w:rPr>
          <w:rFonts w:ascii="宋体" w:hAnsi="宋体" w:cs="宋体"/>
          <w:szCs w:val="21"/>
        </w:rPr>
      </w:pPr>
      <w:bookmarkStart w:id="1345" w:name="_Toc497456494"/>
      <w:bookmarkStart w:id="1346" w:name="_Toc490222549"/>
      <w:bookmarkStart w:id="1347" w:name="_Toc486580104"/>
      <w:bookmarkStart w:id="1348" w:name="_Toc483668133"/>
      <w:bookmarkStart w:id="1349" w:name="_Toc480486958"/>
      <w:bookmarkStart w:id="1350" w:name="_Toc342296318"/>
      <w:bookmarkStart w:id="1351" w:name="_Toc152045667"/>
      <w:bookmarkStart w:id="1352" w:name="_Toc480486786"/>
      <w:bookmarkStart w:id="1353" w:name="_Toc144974635"/>
      <w:bookmarkStart w:id="1354" w:name="_Toc152042445"/>
      <w:bookmarkStart w:id="1355" w:name="_Toc489279915"/>
      <w:bookmarkStart w:id="1356" w:name="_Toc179632685"/>
      <w:bookmarkStart w:id="1357" w:name="_Toc338944760"/>
      <w:r>
        <w:rPr>
          <w:rFonts w:hint="eastAsia" w:ascii="宋体" w:hAnsi="宋体" w:cs="宋体"/>
          <w:szCs w:val="21"/>
        </w:rPr>
        <w:t>7.6  水路和航空运输</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14:paraId="56B9742C">
      <w:pPr>
        <w:tabs>
          <w:tab w:val="left" w:pos="3855"/>
        </w:tabs>
        <w:spacing w:line="360" w:lineRule="auto"/>
        <w:rPr>
          <w:rFonts w:ascii="宋体" w:hAnsi="宋体" w:cs="宋体"/>
          <w:szCs w:val="21"/>
        </w:rPr>
      </w:pPr>
      <w:r>
        <w:rPr>
          <w:rFonts w:hint="eastAsia" w:ascii="宋体" w:hAnsi="宋体" w:cs="宋体"/>
          <w:szCs w:val="21"/>
        </w:rPr>
        <w:t>本条上述各款的内容适用于水路运输和航空运输，其中“道路”一词的涵义包括河道、航线、船闸、机场、码头、堤防以及水路或航空运输中其他相似结构物；“车辆”一词的涵义包括船舶和飞机等。</w:t>
      </w:r>
    </w:p>
    <w:p w14:paraId="23AAA58F">
      <w:pPr>
        <w:tabs>
          <w:tab w:val="left" w:pos="3855"/>
        </w:tabs>
        <w:spacing w:line="360" w:lineRule="auto"/>
        <w:outlineLvl w:val="0"/>
        <w:rPr>
          <w:rFonts w:ascii="宋体" w:hAnsi="宋体" w:cs="宋体"/>
          <w:szCs w:val="21"/>
        </w:rPr>
      </w:pPr>
      <w:bookmarkStart w:id="1358" w:name="_Toc338944761"/>
      <w:bookmarkStart w:id="1359" w:name="_Toc480486959"/>
      <w:bookmarkStart w:id="1360" w:name="_Toc342296319"/>
      <w:bookmarkStart w:id="1361" w:name="_Toc486580105"/>
      <w:bookmarkStart w:id="1362" w:name="_Toc489279916"/>
      <w:bookmarkStart w:id="1363" w:name="_Toc497456495"/>
      <w:bookmarkStart w:id="1364" w:name="_Toc483668134"/>
      <w:bookmarkStart w:id="1365" w:name="_Toc480486787"/>
      <w:bookmarkStart w:id="1366" w:name="_Toc490222550"/>
      <w:r>
        <w:rPr>
          <w:rFonts w:hint="eastAsia" w:ascii="宋体" w:hAnsi="宋体" w:cs="宋体"/>
          <w:szCs w:val="21"/>
        </w:rPr>
        <w:t>8.测量放线</w:t>
      </w:r>
      <w:bookmarkEnd w:id="1358"/>
      <w:bookmarkEnd w:id="1359"/>
      <w:bookmarkEnd w:id="1360"/>
      <w:bookmarkEnd w:id="1361"/>
      <w:bookmarkEnd w:id="1362"/>
      <w:bookmarkEnd w:id="1363"/>
      <w:bookmarkEnd w:id="1364"/>
      <w:bookmarkEnd w:id="1365"/>
      <w:bookmarkEnd w:id="1366"/>
    </w:p>
    <w:p w14:paraId="649E362A">
      <w:pPr>
        <w:tabs>
          <w:tab w:val="left" w:pos="3855"/>
        </w:tabs>
        <w:spacing w:line="360" w:lineRule="auto"/>
        <w:outlineLvl w:val="1"/>
        <w:rPr>
          <w:rFonts w:ascii="宋体" w:hAnsi="宋体" w:cs="宋体"/>
          <w:szCs w:val="21"/>
        </w:rPr>
      </w:pPr>
      <w:bookmarkStart w:id="1367" w:name="_Toc480486788"/>
      <w:bookmarkStart w:id="1368" w:name="_Toc490222551"/>
      <w:bookmarkStart w:id="1369" w:name="_Toc483668135"/>
      <w:bookmarkStart w:id="1370" w:name="_Toc486580106"/>
      <w:bookmarkStart w:id="1371" w:name="_Toc497456496"/>
      <w:bookmarkStart w:id="1372" w:name="_Toc342296320"/>
      <w:bookmarkStart w:id="1373" w:name="_Toc480486960"/>
      <w:bookmarkStart w:id="1374" w:name="_Toc338944762"/>
      <w:bookmarkStart w:id="1375" w:name="_Toc489279917"/>
      <w:r>
        <w:rPr>
          <w:rFonts w:hint="eastAsia" w:ascii="宋体" w:hAnsi="宋体" w:cs="宋体"/>
          <w:szCs w:val="21"/>
        </w:rPr>
        <w:t>8.1  施工控制网</w:t>
      </w:r>
      <w:bookmarkEnd w:id="1367"/>
      <w:bookmarkEnd w:id="1368"/>
      <w:bookmarkEnd w:id="1369"/>
      <w:bookmarkEnd w:id="1370"/>
      <w:bookmarkEnd w:id="1371"/>
      <w:bookmarkEnd w:id="1372"/>
      <w:bookmarkEnd w:id="1373"/>
      <w:bookmarkEnd w:id="1374"/>
      <w:bookmarkEnd w:id="1375"/>
    </w:p>
    <w:p w14:paraId="2490D395">
      <w:pPr>
        <w:tabs>
          <w:tab w:val="left" w:pos="3855"/>
        </w:tabs>
        <w:spacing w:line="360" w:lineRule="auto"/>
        <w:outlineLvl w:val="2"/>
        <w:rPr>
          <w:rFonts w:ascii="宋体" w:hAnsi="宋体" w:cs="宋体"/>
          <w:szCs w:val="21"/>
        </w:rPr>
      </w:pPr>
      <w:r>
        <w:rPr>
          <w:rFonts w:hint="eastAsia" w:ascii="宋体" w:hAnsi="宋体" w:cs="宋体"/>
          <w:szCs w:val="21"/>
        </w:rPr>
        <w:t>8.1.1  发包人应在合同约定的期限内，通过监理人向承包人提供测量基准点、基准线和水准点及其书面资料。向承包人提供测量基准点、基准线和水准点及其书面资料的期限见合同条款专用部分。</w:t>
      </w:r>
    </w:p>
    <w:p w14:paraId="6311CB4D">
      <w:pPr>
        <w:tabs>
          <w:tab w:val="left" w:pos="3855"/>
        </w:tabs>
        <w:spacing w:line="360" w:lineRule="auto"/>
        <w:outlineLvl w:val="2"/>
        <w:rPr>
          <w:rFonts w:ascii="宋体" w:hAnsi="宋体" w:cs="宋体"/>
          <w:szCs w:val="21"/>
        </w:rPr>
      </w:pPr>
      <w:r>
        <w:rPr>
          <w:rFonts w:hint="eastAsia" w:ascii="宋体" w:hAnsi="宋体" w:cs="宋体"/>
          <w:szCs w:val="21"/>
        </w:rPr>
        <w:t>8.1.2  承包人应根据国家测绘基准、测绘系统和工程测量技术规范，按上述基准点（线）以及合同工程精度要求，测设施工控制网，承包人测设施工控制网的其他要求见合同条款专用部分。并将施工控制网资料在约定期限内报送监理人审批，其报送监理人审批的期限见合同条款专用部分。</w:t>
      </w:r>
    </w:p>
    <w:p w14:paraId="3CB13073">
      <w:pPr>
        <w:tabs>
          <w:tab w:val="left" w:pos="3855"/>
        </w:tabs>
        <w:spacing w:line="360" w:lineRule="auto"/>
        <w:outlineLvl w:val="2"/>
        <w:rPr>
          <w:rFonts w:ascii="宋体" w:hAnsi="宋体" w:cs="宋体"/>
          <w:szCs w:val="21"/>
        </w:rPr>
      </w:pPr>
      <w:r>
        <w:rPr>
          <w:rFonts w:hint="eastAsia" w:ascii="宋体" w:hAnsi="宋体" w:cs="宋体"/>
          <w:szCs w:val="21"/>
        </w:rPr>
        <w:t>8.1.3  承包人应负责管理施工控制网点。施工控制网点丢失或损坏的，承包人应及时修复，并承担施工控制网点的管理与修复费用。工程竣工后将施工控制网点移交发包人。</w:t>
      </w:r>
    </w:p>
    <w:p w14:paraId="749C7FB2">
      <w:pPr>
        <w:tabs>
          <w:tab w:val="left" w:pos="3855"/>
        </w:tabs>
        <w:spacing w:line="360" w:lineRule="auto"/>
        <w:outlineLvl w:val="1"/>
        <w:rPr>
          <w:rFonts w:ascii="宋体" w:hAnsi="宋体" w:cs="宋体"/>
          <w:szCs w:val="21"/>
        </w:rPr>
      </w:pPr>
      <w:bookmarkStart w:id="1376" w:name="_Toc338944763"/>
      <w:bookmarkStart w:id="1377" w:name="_Toc489279918"/>
      <w:bookmarkStart w:id="1378" w:name="_Toc480486789"/>
      <w:bookmarkStart w:id="1379" w:name="_Toc342296321"/>
      <w:bookmarkStart w:id="1380" w:name="_Toc483668136"/>
      <w:bookmarkStart w:id="1381" w:name="_Toc497456497"/>
      <w:bookmarkStart w:id="1382" w:name="_Toc152042448"/>
      <w:bookmarkStart w:id="1383" w:name="_Toc480486961"/>
      <w:bookmarkStart w:id="1384" w:name="_Toc152045670"/>
      <w:bookmarkStart w:id="1385" w:name="_Toc179632688"/>
      <w:bookmarkStart w:id="1386" w:name="_Toc144974638"/>
      <w:bookmarkStart w:id="1387" w:name="_Toc490222552"/>
      <w:bookmarkStart w:id="1388" w:name="_Toc486580107"/>
      <w:r>
        <w:rPr>
          <w:rFonts w:hint="eastAsia" w:ascii="宋体" w:hAnsi="宋体" w:cs="宋体"/>
          <w:szCs w:val="21"/>
        </w:rPr>
        <w:t>8.2  施工测量</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32DBBA4A">
      <w:pPr>
        <w:tabs>
          <w:tab w:val="left" w:pos="3855"/>
        </w:tabs>
        <w:spacing w:line="360" w:lineRule="auto"/>
        <w:outlineLvl w:val="2"/>
        <w:rPr>
          <w:rFonts w:ascii="宋体" w:hAnsi="宋体" w:cs="宋体"/>
          <w:szCs w:val="21"/>
        </w:rPr>
      </w:pPr>
      <w:r>
        <w:rPr>
          <w:rFonts w:hint="eastAsia" w:ascii="宋体" w:hAnsi="宋体" w:cs="宋体"/>
          <w:szCs w:val="21"/>
        </w:rPr>
        <w:t>8.2.1  承包人应负责施工过程中的全部施工测量放线工作，并配置合格的人员、仪器、设备和其他物品。</w:t>
      </w:r>
    </w:p>
    <w:p w14:paraId="32866EA4">
      <w:pPr>
        <w:tabs>
          <w:tab w:val="left" w:pos="3855"/>
        </w:tabs>
        <w:spacing w:line="360" w:lineRule="auto"/>
        <w:outlineLvl w:val="2"/>
        <w:rPr>
          <w:rFonts w:ascii="宋体" w:hAnsi="宋体" w:cs="宋体"/>
          <w:szCs w:val="21"/>
        </w:rPr>
      </w:pPr>
      <w:r>
        <w:rPr>
          <w:rFonts w:hint="eastAsia" w:ascii="宋体" w:hAnsi="宋体" w:cs="宋体"/>
          <w:szCs w:val="21"/>
        </w:rPr>
        <w:t>8.2.2  监理人可以指示承包人进行抽样复测，当复测中发现错误或出现超过合同约定的误差时，承包人应按监理人指示进行修正或补测，并承担相应的复测费用。</w:t>
      </w:r>
    </w:p>
    <w:p w14:paraId="6A4F6789">
      <w:pPr>
        <w:tabs>
          <w:tab w:val="left" w:pos="3855"/>
        </w:tabs>
        <w:spacing w:line="360" w:lineRule="auto"/>
        <w:outlineLvl w:val="1"/>
        <w:rPr>
          <w:rFonts w:ascii="宋体" w:hAnsi="宋体" w:cs="宋体"/>
          <w:szCs w:val="21"/>
        </w:rPr>
      </w:pPr>
      <w:bookmarkStart w:id="1389" w:name="_Toc342296322"/>
      <w:bookmarkStart w:id="1390" w:name="_Toc497456498"/>
      <w:bookmarkStart w:id="1391" w:name="_Toc483668137"/>
      <w:bookmarkStart w:id="1392" w:name="_Toc179632689"/>
      <w:bookmarkStart w:id="1393" w:name="_Toc489279919"/>
      <w:bookmarkStart w:id="1394" w:name="_Toc490222553"/>
      <w:bookmarkStart w:id="1395" w:name="_Toc338944764"/>
      <w:bookmarkStart w:id="1396" w:name="_Toc486580108"/>
      <w:bookmarkStart w:id="1397" w:name="_Toc152045671"/>
      <w:bookmarkStart w:id="1398" w:name="_Toc144974639"/>
      <w:bookmarkStart w:id="1399" w:name="_Toc480486962"/>
      <w:bookmarkStart w:id="1400" w:name="_Toc152042449"/>
      <w:bookmarkStart w:id="1401" w:name="_Toc480486790"/>
      <w:r>
        <w:rPr>
          <w:rFonts w:hint="eastAsia" w:ascii="宋体" w:hAnsi="宋体" w:cs="宋体"/>
          <w:szCs w:val="21"/>
        </w:rPr>
        <w:t>8.3  基准资料错误的责任</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14:paraId="0343EA6F">
      <w:pPr>
        <w:tabs>
          <w:tab w:val="left" w:pos="3855"/>
        </w:tabs>
        <w:spacing w:line="360" w:lineRule="auto"/>
        <w:rPr>
          <w:rFonts w:ascii="宋体" w:hAnsi="宋体" w:cs="宋体"/>
          <w:szCs w:val="21"/>
        </w:rPr>
      </w:pPr>
      <w:r>
        <w:rPr>
          <w:rFonts w:hint="eastAsia" w:ascii="宋体" w:hAnsi="宋体" w:cs="宋体"/>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5F855ADF">
      <w:pPr>
        <w:tabs>
          <w:tab w:val="left" w:pos="3855"/>
        </w:tabs>
        <w:spacing w:line="360" w:lineRule="auto"/>
        <w:outlineLvl w:val="1"/>
        <w:rPr>
          <w:rFonts w:ascii="宋体" w:hAnsi="宋体" w:cs="宋体"/>
          <w:szCs w:val="21"/>
        </w:rPr>
      </w:pPr>
      <w:bookmarkStart w:id="1402" w:name="_Toc489279920"/>
      <w:bookmarkStart w:id="1403" w:name="_Toc342296323"/>
      <w:bookmarkStart w:id="1404" w:name="_Toc144974640"/>
      <w:bookmarkStart w:id="1405" w:name="_Toc490222554"/>
      <w:bookmarkStart w:id="1406" w:name="_Toc480486963"/>
      <w:bookmarkStart w:id="1407" w:name="_Toc152045672"/>
      <w:bookmarkStart w:id="1408" w:name="_Toc480486791"/>
      <w:bookmarkStart w:id="1409" w:name="_Toc497456499"/>
      <w:bookmarkStart w:id="1410" w:name="_Toc483668138"/>
      <w:bookmarkStart w:id="1411" w:name="_Toc338944765"/>
      <w:bookmarkStart w:id="1412" w:name="_Toc152042450"/>
      <w:bookmarkStart w:id="1413" w:name="_Toc486580109"/>
      <w:bookmarkStart w:id="1414" w:name="_Toc179632690"/>
      <w:r>
        <w:rPr>
          <w:rFonts w:hint="eastAsia" w:ascii="宋体" w:hAnsi="宋体" w:cs="宋体"/>
          <w:szCs w:val="21"/>
        </w:rPr>
        <w:t>8.4  监理人使用施工控制网</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14:paraId="19FBFFD9">
      <w:pPr>
        <w:tabs>
          <w:tab w:val="left" w:pos="3855"/>
        </w:tabs>
        <w:spacing w:line="360" w:lineRule="auto"/>
        <w:rPr>
          <w:rFonts w:ascii="宋体" w:hAnsi="宋体" w:cs="宋体"/>
          <w:szCs w:val="21"/>
        </w:rPr>
      </w:pPr>
      <w:r>
        <w:rPr>
          <w:rFonts w:hint="eastAsia" w:ascii="宋体" w:hAnsi="宋体" w:cs="宋体"/>
          <w:szCs w:val="21"/>
        </w:rPr>
        <w:t>监理人需要使用施工控制网的，承包人应提供必要的协助，发包人不再为此支付费用。</w:t>
      </w:r>
    </w:p>
    <w:p w14:paraId="7392E259">
      <w:pPr>
        <w:tabs>
          <w:tab w:val="left" w:pos="3855"/>
        </w:tabs>
        <w:spacing w:line="360" w:lineRule="auto"/>
        <w:outlineLvl w:val="0"/>
        <w:rPr>
          <w:rFonts w:ascii="宋体" w:hAnsi="宋体" w:cs="宋体"/>
          <w:szCs w:val="21"/>
        </w:rPr>
      </w:pPr>
      <w:bookmarkStart w:id="1415" w:name="_Toc490222555"/>
      <w:bookmarkStart w:id="1416" w:name="_Toc486580110"/>
      <w:bookmarkStart w:id="1417" w:name="_Toc480486964"/>
      <w:bookmarkStart w:id="1418" w:name="_Toc489279921"/>
      <w:bookmarkStart w:id="1419" w:name="_Toc342296324"/>
      <w:bookmarkStart w:id="1420" w:name="_Toc483668139"/>
      <w:bookmarkStart w:id="1421" w:name="_Toc338944766"/>
      <w:bookmarkStart w:id="1422" w:name="_Toc480486792"/>
      <w:bookmarkStart w:id="1423" w:name="_Toc497456500"/>
      <w:r>
        <w:rPr>
          <w:rFonts w:hint="eastAsia" w:ascii="宋体" w:hAnsi="宋体" w:cs="宋体"/>
          <w:szCs w:val="21"/>
        </w:rPr>
        <w:t>9.施工安全、治安保卫和环境保护</w:t>
      </w:r>
      <w:bookmarkEnd w:id="1415"/>
      <w:bookmarkEnd w:id="1416"/>
      <w:bookmarkEnd w:id="1417"/>
      <w:bookmarkEnd w:id="1418"/>
      <w:bookmarkEnd w:id="1419"/>
      <w:bookmarkEnd w:id="1420"/>
      <w:bookmarkEnd w:id="1421"/>
      <w:bookmarkEnd w:id="1422"/>
      <w:bookmarkEnd w:id="1423"/>
    </w:p>
    <w:p w14:paraId="65026B36">
      <w:pPr>
        <w:tabs>
          <w:tab w:val="left" w:pos="3855"/>
        </w:tabs>
        <w:spacing w:line="360" w:lineRule="auto"/>
        <w:outlineLvl w:val="1"/>
        <w:rPr>
          <w:rFonts w:ascii="宋体" w:hAnsi="宋体" w:cs="宋体"/>
          <w:szCs w:val="21"/>
        </w:rPr>
      </w:pPr>
      <w:bookmarkStart w:id="1424" w:name="_Toc480486793"/>
      <w:bookmarkStart w:id="1425" w:name="_Toc179632692"/>
      <w:bookmarkStart w:id="1426" w:name="_Toc480486965"/>
      <w:bookmarkStart w:id="1427" w:name="_Toc489279922"/>
      <w:bookmarkStart w:id="1428" w:name="_Toc342296325"/>
      <w:bookmarkStart w:id="1429" w:name="_Toc490222556"/>
      <w:bookmarkStart w:id="1430" w:name="_Toc483668140"/>
      <w:bookmarkStart w:id="1431" w:name="_Toc338944767"/>
      <w:bookmarkStart w:id="1432" w:name="_Toc152042452"/>
      <w:bookmarkStart w:id="1433" w:name="_Toc152045674"/>
      <w:bookmarkStart w:id="1434" w:name="_Toc486580111"/>
      <w:bookmarkStart w:id="1435" w:name="_Toc144974642"/>
      <w:bookmarkStart w:id="1436" w:name="_Toc497456501"/>
      <w:r>
        <w:rPr>
          <w:rFonts w:hint="eastAsia" w:ascii="宋体" w:hAnsi="宋体" w:cs="宋体"/>
          <w:szCs w:val="21"/>
        </w:rPr>
        <w:t>9.1  发包人的施工安全责任</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14:paraId="28D7F2A0">
      <w:pPr>
        <w:tabs>
          <w:tab w:val="left" w:pos="3855"/>
        </w:tabs>
        <w:spacing w:line="360" w:lineRule="auto"/>
        <w:outlineLvl w:val="2"/>
        <w:rPr>
          <w:rFonts w:ascii="宋体" w:hAnsi="宋体" w:cs="宋体"/>
          <w:szCs w:val="21"/>
        </w:rPr>
      </w:pPr>
      <w:r>
        <w:rPr>
          <w:rFonts w:hint="eastAsia" w:ascii="宋体" w:hAnsi="宋体" w:cs="宋体"/>
          <w:szCs w:val="21"/>
        </w:rPr>
        <w:t>9.1.1  发包人应按合同约定履行安全职责，授权监理人按合同约定的安全工作内容监督、检查承包人安全工作的实施，组织承包人和有关单位进行安全检查。</w:t>
      </w:r>
    </w:p>
    <w:p w14:paraId="7F83AF33">
      <w:pPr>
        <w:tabs>
          <w:tab w:val="left" w:pos="3855"/>
        </w:tabs>
        <w:spacing w:line="360" w:lineRule="auto"/>
        <w:outlineLvl w:val="2"/>
        <w:rPr>
          <w:rFonts w:ascii="宋体" w:hAnsi="宋体" w:cs="宋体"/>
          <w:szCs w:val="21"/>
        </w:rPr>
      </w:pPr>
      <w:r>
        <w:rPr>
          <w:rFonts w:hint="eastAsia" w:ascii="宋体" w:hAnsi="宋体" w:cs="宋体"/>
          <w:szCs w:val="21"/>
        </w:rPr>
        <w:t>9.1.2  发包人应对其现场机构雇佣的全部人员的工伤事故承担责任，但由于承包人原因造成发包人人员工伤的，应由承包人承担责任。</w:t>
      </w:r>
    </w:p>
    <w:p w14:paraId="79E537E0">
      <w:pPr>
        <w:tabs>
          <w:tab w:val="left" w:pos="3855"/>
        </w:tabs>
        <w:spacing w:line="360" w:lineRule="auto"/>
        <w:outlineLvl w:val="2"/>
        <w:rPr>
          <w:rFonts w:ascii="宋体" w:hAnsi="宋体" w:cs="宋体"/>
          <w:szCs w:val="21"/>
        </w:rPr>
      </w:pPr>
      <w:r>
        <w:rPr>
          <w:rFonts w:hint="eastAsia" w:ascii="宋体" w:hAnsi="宋体" w:cs="宋体"/>
          <w:szCs w:val="21"/>
        </w:rPr>
        <w:t>9.1.3  发包人应负责赔偿以下各种情况造成的第三者人身伤亡和财产损失：</w:t>
      </w:r>
    </w:p>
    <w:p w14:paraId="699D926B">
      <w:pPr>
        <w:tabs>
          <w:tab w:val="left" w:pos="3855"/>
        </w:tabs>
        <w:spacing w:line="360" w:lineRule="auto"/>
        <w:rPr>
          <w:rFonts w:ascii="宋体" w:hAnsi="宋体" w:cs="宋体"/>
          <w:szCs w:val="21"/>
        </w:rPr>
      </w:pPr>
      <w:r>
        <w:rPr>
          <w:rFonts w:hint="eastAsia" w:ascii="宋体" w:hAnsi="宋体" w:cs="宋体"/>
          <w:szCs w:val="21"/>
        </w:rPr>
        <w:t>（1）工程或工程的任何部分对土地的占用所造成的第三者财产损失；</w:t>
      </w:r>
    </w:p>
    <w:p w14:paraId="5D07116C">
      <w:pPr>
        <w:tabs>
          <w:tab w:val="left" w:pos="3855"/>
        </w:tabs>
        <w:spacing w:line="360" w:lineRule="auto"/>
        <w:rPr>
          <w:rFonts w:ascii="宋体" w:hAnsi="宋体" w:cs="宋体"/>
          <w:szCs w:val="21"/>
        </w:rPr>
      </w:pPr>
      <w:r>
        <w:rPr>
          <w:rFonts w:hint="eastAsia" w:ascii="宋体" w:hAnsi="宋体" w:cs="宋体"/>
          <w:szCs w:val="21"/>
        </w:rPr>
        <w:t>（2）由于发包人原因在施工场地及其毗邻地带造成的第三者人身伤亡和财产损失。</w:t>
      </w:r>
    </w:p>
    <w:p w14:paraId="7334546B">
      <w:pPr>
        <w:tabs>
          <w:tab w:val="left" w:pos="3855"/>
        </w:tabs>
        <w:spacing w:line="360" w:lineRule="auto"/>
        <w:outlineLvl w:val="1"/>
        <w:rPr>
          <w:rFonts w:ascii="宋体" w:hAnsi="宋体" w:cs="宋体"/>
          <w:szCs w:val="21"/>
        </w:rPr>
      </w:pPr>
      <w:bookmarkStart w:id="1437" w:name="_Toc483668141"/>
      <w:bookmarkStart w:id="1438" w:name="_Toc490222557"/>
      <w:bookmarkStart w:id="1439" w:name="_Toc486580112"/>
      <w:bookmarkStart w:id="1440" w:name="_Toc489279923"/>
      <w:bookmarkStart w:id="1441" w:name="_Toc338944768"/>
      <w:bookmarkStart w:id="1442" w:name="_Toc480486966"/>
      <w:bookmarkStart w:id="1443" w:name="_Toc342296326"/>
      <w:bookmarkStart w:id="1444" w:name="_Toc497456502"/>
      <w:bookmarkStart w:id="1445" w:name="_Toc480486794"/>
      <w:r>
        <w:rPr>
          <w:rFonts w:hint="eastAsia" w:ascii="宋体" w:hAnsi="宋体" w:cs="宋体"/>
          <w:szCs w:val="21"/>
        </w:rPr>
        <w:t>9.2  承包人的施工安全责任</w:t>
      </w:r>
      <w:bookmarkEnd w:id="1437"/>
      <w:bookmarkEnd w:id="1438"/>
      <w:bookmarkEnd w:id="1439"/>
      <w:bookmarkEnd w:id="1440"/>
      <w:bookmarkEnd w:id="1441"/>
      <w:bookmarkEnd w:id="1442"/>
      <w:bookmarkEnd w:id="1443"/>
      <w:bookmarkEnd w:id="1444"/>
      <w:bookmarkEnd w:id="1445"/>
    </w:p>
    <w:p w14:paraId="39977433">
      <w:pPr>
        <w:tabs>
          <w:tab w:val="left" w:pos="3855"/>
        </w:tabs>
        <w:spacing w:line="360" w:lineRule="auto"/>
        <w:outlineLvl w:val="2"/>
        <w:rPr>
          <w:rFonts w:ascii="宋体" w:hAnsi="宋体" w:cs="宋体"/>
          <w:szCs w:val="21"/>
        </w:rPr>
      </w:pPr>
      <w:r>
        <w:rPr>
          <w:rFonts w:hint="eastAsia" w:ascii="宋体" w:hAnsi="宋体" w:cs="宋体"/>
          <w:szCs w:val="21"/>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14:paraId="02518E97">
      <w:pPr>
        <w:tabs>
          <w:tab w:val="left" w:pos="3855"/>
        </w:tabs>
        <w:spacing w:line="360" w:lineRule="auto"/>
        <w:outlineLvl w:val="2"/>
        <w:rPr>
          <w:rFonts w:ascii="宋体" w:hAnsi="宋体" w:cs="宋体"/>
          <w:szCs w:val="21"/>
        </w:rPr>
      </w:pPr>
      <w:r>
        <w:rPr>
          <w:rFonts w:hint="eastAsia" w:ascii="宋体" w:hAnsi="宋体" w:cs="宋体"/>
          <w:szCs w:val="21"/>
        </w:rPr>
        <w:t>9.2.2  承包人应加强施工作业安全管理，特别应加强易燃、易爆材料、火工器材、有毒与腐蚀性材料、行业挥发性有机物和其他危险品的管理，以及对爆破作业和地下工程施工等危险作业的管理。</w:t>
      </w:r>
    </w:p>
    <w:p w14:paraId="0DD7E3F7">
      <w:pPr>
        <w:tabs>
          <w:tab w:val="left" w:pos="3855"/>
        </w:tabs>
        <w:spacing w:line="360" w:lineRule="auto"/>
        <w:outlineLvl w:val="2"/>
        <w:rPr>
          <w:rFonts w:ascii="宋体" w:hAnsi="宋体" w:cs="宋体"/>
          <w:szCs w:val="21"/>
        </w:rPr>
      </w:pPr>
      <w:r>
        <w:rPr>
          <w:rFonts w:hint="eastAsia" w:ascii="宋体" w:hAnsi="宋体" w:cs="宋体"/>
          <w:szCs w:val="21"/>
        </w:rPr>
        <w:t>9.2.3  承包人应严格按照国家安全标准制定施工安全操作规程，配备必要的安全生产和劳动保护设施，加强对承包人人员的安全教育，并发放安全工作手册和劳动保护用具。</w:t>
      </w:r>
    </w:p>
    <w:p w14:paraId="2E513B8C">
      <w:pPr>
        <w:tabs>
          <w:tab w:val="left" w:pos="3855"/>
        </w:tabs>
        <w:spacing w:line="360" w:lineRule="auto"/>
        <w:outlineLvl w:val="2"/>
        <w:rPr>
          <w:rFonts w:ascii="宋体" w:hAnsi="宋体" w:cs="宋体"/>
          <w:szCs w:val="21"/>
        </w:rPr>
      </w:pPr>
      <w:r>
        <w:rPr>
          <w:rFonts w:hint="eastAsia" w:ascii="宋体" w:hAnsi="宋体" w:cs="宋体"/>
          <w:szCs w:val="21"/>
        </w:rPr>
        <w:t>9.2.4  承包人应按监理人的指示制定应对灾害的紧急预案，报送监理人审批。承包人还应按预案做好安全检查，配置必要的救助物资和器材，切实保护好有关人员的人身和财产安全。</w:t>
      </w:r>
    </w:p>
    <w:p w14:paraId="7D6638E8">
      <w:pPr>
        <w:tabs>
          <w:tab w:val="left" w:pos="3855"/>
        </w:tabs>
        <w:spacing w:line="360" w:lineRule="auto"/>
        <w:outlineLvl w:val="2"/>
        <w:rPr>
          <w:rFonts w:ascii="宋体" w:hAnsi="宋体" w:cs="宋体"/>
          <w:szCs w:val="21"/>
        </w:rPr>
      </w:pPr>
      <w:r>
        <w:rPr>
          <w:rFonts w:hint="eastAsia" w:ascii="宋体" w:hAnsi="宋体" w:cs="宋体"/>
          <w:szCs w:val="21"/>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55A20E52">
      <w:pPr>
        <w:tabs>
          <w:tab w:val="left" w:pos="3855"/>
        </w:tabs>
        <w:spacing w:line="360" w:lineRule="auto"/>
        <w:outlineLvl w:val="2"/>
        <w:rPr>
          <w:rFonts w:ascii="宋体" w:hAnsi="宋体" w:cs="宋体"/>
          <w:szCs w:val="21"/>
        </w:rPr>
      </w:pPr>
      <w:r>
        <w:rPr>
          <w:rFonts w:hint="eastAsia" w:ascii="宋体" w:hAnsi="宋体" w:cs="宋体"/>
          <w:szCs w:val="21"/>
        </w:rPr>
        <w:t>9.2.6  承包人应对其履行合同所雇佣的全部人员，包括分包人人员的工伤事故承担责任，但由于发包人原因造成承包人人员工伤事故的，应由发包人承担责任。</w:t>
      </w:r>
    </w:p>
    <w:p w14:paraId="450C4B50">
      <w:pPr>
        <w:tabs>
          <w:tab w:val="left" w:pos="3855"/>
        </w:tabs>
        <w:spacing w:line="360" w:lineRule="auto"/>
        <w:outlineLvl w:val="2"/>
        <w:rPr>
          <w:rFonts w:ascii="宋体" w:hAnsi="宋体" w:cs="宋体"/>
          <w:szCs w:val="21"/>
        </w:rPr>
      </w:pPr>
      <w:r>
        <w:rPr>
          <w:rFonts w:hint="eastAsia" w:ascii="宋体" w:hAnsi="宋体" w:cs="宋体"/>
          <w:szCs w:val="21"/>
        </w:rPr>
        <w:t>9.2.7  由于承包人原因在施工场地内及其毗邻地带造成的第三者人员伤亡和财产损失，由承包人负责赔偿。</w:t>
      </w:r>
    </w:p>
    <w:p w14:paraId="03B208A5">
      <w:pPr>
        <w:tabs>
          <w:tab w:val="left" w:pos="3855"/>
        </w:tabs>
        <w:spacing w:line="360" w:lineRule="auto"/>
        <w:outlineLvl w:val="1"/>
        <w:rPr>
          <w:rFonts w:ascii="宋体" w:hAnsi="宋体" w:cs="宋体"/>
          <w:szCs w:val="21"/>
        </w:rPr>
      </w:pPr>
      <w:bookmarkStart w:id="1446" w:name="_Toc342296327"/>
      <w:bookmarkStart w:id="1447" w:name="_Toc486580113"/>
      <w:bookmarkStart w:id="1448" w:name="_Toc338944769"/>
      <w:bookmarkStart w:id="1449" w:name="_Toc480486967"/>
      <w:bookmarkStart w:id="1450" w:name="_Toc480486795"/>
      <w:bookmarkStart w:id="1451" w:name="_Toc490222558"/>
      <w:bookmarkStart w:id="1452" w:name="_Toc497456503"/>
      <w:bookmarkStart w:id="1453" w:name="_Toc489279924"/>
      <w:bookmarkStart w:id="1454" w:name="_Toc483668142"/>
      <w:r>
        <w:rPr>
          <w:rFonts w:hint="eastAsia" w:ascii="宋体" w:hAnsi="宋体" w:cs="宋体"/>
          <w:szCs w:val="21"/>
        </w:rPr>
        <w:t>9.3  治安保卫</w:t>
      </w:r>
      <w:bookmarkEnd w:id="1446"/>
      <w:bookmarkEnd w:id="1447"/>
      <w:bookmarkEnd w:id="1448"/>
      <w:bookmarkEnd w:id="1449"/>
      <w:bookmarkEnd w:id="1450"/>
      <w:bookmarkEnd w:id="1451"/>
      <w:bookmarkEnd w:id="1452"/>
      <w:bookmarkEnd w:id="1453"/>
      <w:bookmarkEnd w:id="1454"/>
    </w:p>
    <w:p w14:paraId="6002477B">
      <w:pPr>
        <w:tabs>
          <w:tab w:val="left" w:pos="3855"/>
        </w:tabs>
        <w:spacing w:line="360" w:lineRule="auto"/>
        <w:outlineLvl w:val="2"/>
        <w:rPr>
          <w:rFonts w:ascii="宋体" w:hAnsi="宋体" w:cs="宋体"/>
          <w:szCs w:val="21"/>
        </w:rPr>
      </w:pPr>
      <w:r>
        <w:rPr>
          <w:rFonts w:hint="eastAsia" w:ascii="宋体" w:hAnsi="宋体" w:cs="宋体"/>
          <w:szCs w:val="21"/>
        </w:rPr>
        <w:t>9.3.1  发包人应与当地公安部门协商，在现场建立治安管理机构或联防组织，负责统一管理施工场地的治安保卫事项，履行合同工程的治安保卫职责。</w:t>
      </w:r>
    </w:p>
    <w:p w14:paraId="527D1399">
      <w:pPr>
        <w:tabs>
          <w:tab w:val="left" w:pos="3855"/>
        </w:tabs>
        <w:spacing w:line="360" w:lineRule="auto"/>
        <w:outlineLvl w:val="2"/>
        <w:rPr>
          <w:rFonts w:ascii="宋体" w:hAnsi="宋体" w:cs="宋体"/>
          <w:szCs w:val="21"/>
        </w:rPr>
      </w:pPr>
      <w:r>
        <w:rPr>
          <w:rFonts w:hint="eastAsia" w:ascii="宋体" w:hAnsi="宋体" w:cs="宋体"/>
          <w:szCs w:val="21"/>
        </w:rPr>
        <w:t>9.3.2  发包人和承包人除应协助现场治安管理机构或联防组织维护施工场地的社会治安外，还应做好包括生活区在内的各自管辖区的治安保卫工作。</w:t>
      </w:r>
    </w:p>
    <w:p w14:paraId="2365AD39">
      <w:pPr>
        <w:tabs>
          <w:tab w:val="left" w:pos="3855"/>
        </w:tabs>
        <w:spacing w:line="360" w:lineRule="auto"/>
        <w:outlineLvl w:val="2"/>
        <w:rPr>
          <w:rFonts w:ascii="宋体" w:hAnsi="宋体" w:cs="宋体"/>
          <w:szCs w:val="21"/>
        </w:rPr>
      </w:pPr>
      <w:r>
        <w:rPr>
          <w:rFonts w:hint="eastAsia" w:ascii="宋体" w:hAnsi="宋体" w:cs="宋体"/>
          <w:szCs w:val="21"/>
        </w:rPr>
        <w:t>9.3.3  在工程开工前应当明确责任人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制定施工场地治安管理计划和突发治安事件紧急预案的责任人见合同条款专用部分。</w:t>
      </w:r>
    </w:p>
    <w:p w14:paraId="0EB338FB">
      <w:pPr>
        <w:tabs>
          <w:tab w:val="left" w:pos="3855"/>
        </w:tabs>
        <w:spacing w:line="360" w:lineRule="auto"/>
        <w:outlineLvl w:val="1"/>
        <w:rPr>
          <w:rFonts w:ascii="宋体" w:hAnsi="宋体" w:cs="宋体"/>
          <w:szCs w:val="21"/>
        </w:rPr>
      </w:pPr>
      <w:bookmarkStart w:id="1455" w:name="_Toc480486968"/>
      <w:bookmarkStart w:id="1456" w:name="_Toc483668143"/>
      <w:bookmarkStart w:id="1457" w:name="_Toc490222559"/>
      <w:bookmarkStart w:id="1458" w:name="_Toc342296328"/>
      <w:bookmarkStart w:id="1459" w:name="_Toc497456504"/>
      <w:bookmarkStart w:id="1460" w:name="_Toc480486796"/>
      <w:bookmarkStart w:id="1461" w:name="_Toc486580114"/>
      <w:bookmarkStart w:id="1462" w:name="_Toc338944770"/>
      <w:bookmarkStart w:id="1463" w:name="_Toc489279925"/>
      <w:r>
        <w:rPr>
          <w:rFonts w:hint="eastAsia" w:ascii="宋体" w:hAnsi="宋体" w:cs="宋体"/>
          <w:szCs w:val="21"/>
        </w:rPr>
        <w:t>9.4  环境保护</w:t>
      </w:r>
      <w:bookmarkEnd w:id="1455"/>
      <w:bookmarkEnd w:id="1456"/>
      <w:bookmarkEnd w:id="1457"/>
      <w:bookmarkEnd w:id="1458"/>
      <w:bookmarkEnd w:id="1459"/>
      <w:bookmarkEnd w:id="1460"/>
      <w:bookmarkEnd w:id="1461"/>
      <w:bookmarkEnd w:id="1462"/>
      <w:bookmarkEnd w:id="1463"/>
    </w:p>
    <w:p w14:paraId="0C9D9D6C">
      <w:pPr>
        <w:tabs>
          <w:tab w:val="left" w:pos="3855"/>
        </w:tabs>
        <w:spacing w:line="360" w:lineRule="auto"/>
        <w:outlineLvl w:val="2"/>
        <w:rPr>
          <w:rFonts w:ascii="宋体" w:hAnsi="宋体" w:cs="宋体"/>
          <w:szCs w:val="21"/>
        </w:rPr>
      </w:pPr>
      <w:r>
        <w:rPr>
          <w:rFonts w:hint="eastAsia" w:ascii="宋体" w:hAnsi="宋体" w:cs="宋体"/>
          <w:szCs w:val="21"/>
        </w:rPr>
        <w:t>9.4.1  承包人在施工过程中，应遵守有关环境保护的法律，履行合同约定的环境保护义务，并对违反法律和合同约定义务所造成的环境破坏、人身伤害和财产损失负责。</w:t>
      </w:r>
    </w:p>
    <w:p w14:paraId="15AD0078">
      <w:pPr>
        <w:tabs>
          <w:tab w:val="left" w:pos="3855"/>
        </w:tabs>
        <w:spacing w:line="360" w:lineRule="auto"/>
        <w:outlineLvl w:val="2"/>
        <w:rPr>
          <w:rFonts w:ascii="宋体" w:hAnsi="宋体" w:cs="宋体"/>
          <w:szCs w:val="21"/>
        </w:rPr>
      </w:pPr>
      <w:r>
        <w:rPr>
          <w:rFonts w:hint="eastAsia" w:ascii="宋体" w:hAnsi="宋体" w:cs="宋体"/>
          <w:szCs w:val="21"/>
        </w:rPr>
        <w:t>9.4.2  承包人应建立施工扬尘治理、建筑垃圾、土方和砂石清运与消纳、严禁使用高排放非道路移动机械和行业挥发性有机物治理（如建筑外墙涂装、钢结构等鼓励使用水性漆替代油性漆）等责任制，针对工程项目特点制定具体的实施方案，并严格实施。如扬尘治理，承包人应在建筑工地公示施工扬尘治理措施、责任人、主管部门等信息，并及时向当地主管部门报送施工扬尘治理措施落实情况。</w:t>
      </w:r>
    </w:p>
    <w:p w14:paraId="28F7B2F8">
      <w:pPr>
        <w:tabs>
          <w:tab w:val="left" w:pos="3855"/>
        </w:tabs>
        <w:spacing w:line="360" w:lineRule="auto"/>
        <w:outlineLvl w:val="2"/>
        <w:rPr>
          <w:rFonts w:ascii="宋体" w:hAnsi="宋体" w:cs="宋体"/>
          <w:szCs w:val="21"/>
        </w:rPr>
      </w:pPr>
      <w:r>
        <w:rPr>
          <w:rFonts w:hint="eastAsia" w:ascii="宋体" w:hAnsi="宋体" w:cs="宋体"/>
          <w:szCs w:val="21"/>
        </w:rPr>
        <w:t>9.4.3  承包人应在合同条款专用部分约定的时限内，按合同约定的环保工作内容，编制施工环保措施计划（包含第9.4.2项约定的实施方案内容），报送监理人审批。监理人在合同条款专用部分约定的期限内给予批复。</w:t>
      </w:r>
    </w:p>
    <w:p w14:paraId="4199907C">
      <w:pPr>
        <w:tabs>
          <w:tab w:val="left" w:pos="3855"/>
        </w:tabs>
        <w:spacing w:line="360" w:lineRule="auto"/>
        <w:outlineLvl w:val="2"/>
        <w:rPr>
          <w:rFonts w:ascii="宋体" w:hAnsi="宋体" w:cs="宋体"/>
          <w:szCs w:val="21"/>
        </w:rPr>
      </w:pPr>
      <w:r>
        <w:rPr>
          <w:rFonts w:hint="eastAsia" w:ascii="宋体" w:hAnsi="宋体" w:cs="宋体"/>
          <w:szCs w:val="21"/>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14:paraId="3B48CE52">
      <w:pPr>
        <w:tabs>
          <w:tab w:val="left" w:pos="3855"/>
        </w:tabs>
        <w:spacing w:line="360" w:lineRule="auto"/>
        <w:outlineLvl w:val="2"/>
        <w:rPr>
          <w:rFonts w:ascii="宋体" w:hAnsi="宋体" w:cs="宋体"/>
          <w:szCs w:val="21"/>
        </w:rPr>
      </w:pPr>
      <w:r>
        <w:rPr>
          <w:rFonts w:hint="eastAsia" w:ascii="宋体" w:hAnsi="宋体" w:cs="宋体"/>
          <w:szCs w:val="21"/>
        </w:rPr>
        <w:t>9.4.5  承包人应按合同约定采取有效措施，对施工开挖的边坡及时进行支护,维护排水设施，并进行水土保护，避免因施工造成的地质灾害。</w:t>
      </w:r>
    </w:p>
    <w:p w14:paraId="7320017E">
      <w:pPr>
        <w:tabs>
          <w:tab w:val="left" w:pos="3855"/>
        </w:tabs>
        <w:spacing w:line="360" w:lineRule="auto"/>
        <w:outlineLvl w:val="2"/>
        <w:rPr>
          <w:rFonts w:ascii="宋体" w:hAnsi="宋体" w:cs="宋体"/>
          <w:szCs w:val="21"/>
        </w:rPr>
      </w:pPr>
      <w:r>
        <w:rPr>
          <w:rFonts w:hint="eastAsia" w:ascii="宋体" w:hAnsi="宋体" w:cs="宋体"/>
          <w:szCs w:val="21"/>
        </w:rPr>
        <w:t>9.4.6  承包人应按国家饮用水管理标准定期对饮用水源进行监测，防止施工活动污染饮用水源。</w:t>
      </w:r>
    </w:p>
    <w:p w14:paraId="2DE63995">
      <w:pPr>
        <w:tabs>
          <w:tab w:val="left" w:pos="3855"/>
        </w:tabs>
        <w:spacing w:line="360" w:lineRule="auto"/>
        <w:outlineLvl w:val="2"/>
        <w:rPr>
          <w:rFonts w:ascii="宋体" w:hAnsi="宋体" w:cs="宋体"/>
          <w:szCs w:val="21"/>
        </w:rPr>
      </w:pPr>
      <w:r>
        <w:rPr>
          <w:rFonts w:hint="eastAsia" w:ascii="宋体" w:hAnsi="宋体" w:cs="宋体"/>
          <w:szCs w:val="21"/>
        </w:rPr>
        <w:t>9.4.7  承包人应按合同约定，加强对噪声、粉尘、废气、废水和废油的控制，努力降低噪声，控制粉尘和废气浓度，做好废水和废油的治理和排放。</w:t>
      </w:r>
    </w:p>
    <w:p w14:paraId="743BD7E0">
      <w:pPr>
        <w:tabs>
          <w:tab w:val="left" w:pos="3855"/>
        </w:tabs>
        <w:spacing w:line="360" w:lineRule="auto"/>
        <w:outlineLvl w:val="1"/>
        <w:rPr>
          <w:rFonts w:ascii="宋体" w:hAnsi="宋体" w:cs="宋体"/>
          <w:szCs w:val="21"/>
        </w:rPr>
      </w:pPr>
      <w:bookmarkStart w:id="1464" w:name="_Toc497456505"/>
      <w:bookmarkStart w:id="1465" w:name="_Toc480486969"/>
      <w:bookmarkStart w:id="1466" w:name="_Toc152045678"/>
      <w:bookmarkStart w:id="1467" w:name="_Toc144974646"/>
      <w:bookmarkStart w:id="1468" w:name="_Toc179632696"/>
      <w:bookmarkStart w:id="1469" w:name="_Toc152042456"/>
      <w:bookmarkStart w:id="1470" w:name="_Toc486580115"/>
      <w:bookmarkStart w:id="1471" w:name="_Toc489279926"/>
      <w:bookmarkStart w:id="1472" w:name="_Toc342296329"/>
      <w:bookmarkStart w:id="1473" w:name="_Toc480486797"/>
      <w:bookmarkStart w:id="1474" w:name="_Toc338944771"/>
      <w:bookmarkStart w:id="1475" w:name="_Toc490222560"/>
      <w:bookmarkStart w:id="1476" w:name="_Toc483668144"/>
      <w:r>
        <w:rPr>
          <w:rFonts w:hint="eastAsia" w:ascii="宋体" w:hAnsi="宋体" w:cs="宋体"/>
          <w:szCs w:val="21"/>
        </w:rPr>
        <w:t>9.5  事故处理</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36D5A8E8">
      <w:pPr>
        <w:tabs>
          <w:tab w:val="left" w:pos="3855"/>
        </w:tabs>
        <w:spacing w:line="360" w:lineRule="auto"/>
        <w:rPr>
          <w:rFonts w:ascii="宋体" w:hAnsi="宋体" w:cs="宋体"/>
          <w:szCs w:val="21"/>
        </w:rPr>
      </w:pPr>
      <w:r>
        <w:rPr>
          <w:rFonts w:hint="eastAsia" w:ascii="宋体" w:hAnsi="宋体" w:cs="宋体"/>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DBDA1ED">
      <w:pPr>
        <w:tabs>
          <w:tab w:val="left" w:pos="3855"/>
        </w:tabs>
        <w:spacing w:line="360" w:lineRule="auto"/>
        <w:outlineLvl w:val="0"/>
        <w:rPr>
          <w:rFonts w:ascii="宋体" w:hAnsi="宋体" w:cs="宋体"/>
          <w:szCs w:val="21"/>
        </w:rPr>
      </w:pPr>
      <w:bookmarkStart w:id="1477" w:name="_Toc497456506"/>
      <w:bookmarkStart w:id="1478" w:name="_Toc480486798"/>
      <w:bookmarkStart w:id="1479" w:name="_Toc489279927"/>
      <w:bookmarkStart w:id="1480" w:name="_Toc486580116"/>
      <w:bookmarkStart w:id="1481" w:name="_Toc480486970"/>
      <w:bookmarkStart w:id="1482" w:name="_Toc490222561"/>
      <w:bookmarkStart w:id="1483" w:name="_Toc483668145"/>
      <w:bookmarkStart w:id="1484" w:name="_Toc342296330"/>
      <w:bookmarkStart w:id="1485" w:name="_Toc338944772"/>
      <w:r>
        <w:rPr>
          <w:rFonts w:hint="eastAsia" w:ascii="宋体" w:hAnsi="宋体" w:cs="宋体"/>
          <w:szCs w:val="21"/>
        </w:rPr>
        <w:t>10.进度计划</w:t>
      </w:r>
      <w:bookmarkEnd w:id="1477"/>
      <w:bookmarkEnd w:id="1478"/>
      <w:bookmarkEnd w:id="1479"/>
      <w:bookmarkEnd w:id="1480"/>
      <w:bookmarkEnd w:id="1481"/>
      <w:bookmarkEnd w:id="1482"/>
      <w:bookmarkEnd w:id="1483"/>
      <w:bookmarkEnd w:id="1484"/>
      <w:bookmarkEnd w:id="1485"/>
    </w:p>
    <w:p w14:paraId="2EF9CC2D">
      <w:pPr>
        <w:tabs>
          <w:tab w:val="left" w:pos="3855"/>
        </w:tabs>
        <w:spacing w:line="360" w:lineRule="auto"/>
        <w:outlineLvl w:val="1"/>
        <w:rPr>
          <w:rFonts w:ascii="宋体" w:hAnsi="宋体" w:cs="宋体"/>
          <w:szCs w:val="21"/>
        </w:rPr>
      </w:pPr>
      <w:bookmarkStart w:id="1486" w:name="_Toc497456507"/>
      <w:bookmarkStart w:id="1487" w:name="_Toc338944773"/>
      <w:bookmarkStart w:id="1488" w:name="_Toc480486799"/>
      <w:bookmarkStart w:id="1489" w:name="_Toc489279928"/>
      <w:bookmarkStart w:id="1490" w:name="_Toc483668146"/>
      <w:bookmarkStart w:id="1491" w:name="_Toc490222562"/>
      <w:bookmarkStart w:id="1492" w:name="_Toc342296331"/>
      <w:bookmarkStart w:id="1493" w:name="_Toc480486971"/>
      <w:bookmarkStart w:id="1494" w:name="_Toc486580117"/>
      <w:r>
        <w:rPr>
          <w:rFonts w:hint="eastAsia" w:ascii="宋体" w:hAnsi="宋体" w:cs="宋体"/>
          <w:szCs w:val="21"/>
        </w:rPr>
        <w:t>10.1  合同进度计划</w:t>
      </w:r>
      <w:bookmarkEnd w:id="1486"/>
      <w:bookmarkEnd w:id="1487"/>
      <w:bookmarkEnd w:id="1488"/>
      <w:bookmarkEnd w:id="1489"/>
      <w:bookmarkEnd w:id="1490"/>
      <w:bookmarkEnd w:id="1491"/>
      <w:bookmarkEnd w:id="1492"/>
      <w:bookmarkEnd w:id="1493"/>
      <w:bookmarkEnd w:id="1494"/>
    </w:p>
    <w:p w14:paraId="401AB456">
      <w:pPr>
        <w:tabs>
          <w:tab w:val="left" w:pos="3855"/>
        </w:tabs>
        <w:spacing w:line="360" w:lineRule="auto"/>
        <w:outlineLvl w:val="2"/>
        <w:rPr>
          <w:rFonts w:ascii="宋体" w:hAnsi="宋体" w:cs="宋体"/>
          <w:szCs w:val="21"/>
        </w:rPr>
      </w:pPr>
      <w:r>
        <w:rPr>
          <w:rFonts w:hint="eastAsia" w:ascii="宋体" w:hAnsi="宋体" w:cs="宋体"/>
          <w:szCs w:val="21"/>
        </w:rPr>
        <w:t>10.1.1  承包人应当在收到监理人按照第11.1.1项发出的开工通知后7天内，编制详细的施工进度计划和施工方案说明报送监理人，施工进度计划中应载明要求发包人组织设计人进行阶段性工程设计交底的时间。监理人应在收到承包人报送的相关进度计划和施工方案说明后14天内批复或提出修改意见，否则该进度计划视为已得到批准。经监理人批准的施工进度计划称合同进度计划，是控制合同工程进度的依据。承包人编制施工进度计划和施工方案说明的内容见合同条款专用部分。</w:t>
      </w:r>
    </w:p>
    <w:p w14:paraId="5B8526D9">
      <w:pPr>
        <w:tabs>
          <w:tab w:val="left" w:pos="3855"/>
        </w:tabs>
        <w:spacing w:line="360" w:lineRule="auto"/>
        <w:outlineLvl w:val="2"/>
        <w:rPr>
          <w:rFonts w:ascii="宋体" w:hAnsi="宋体" w:cs="宋体"/>
          <w:szCs w:val="21"/>
        </w:rPr>
      </w:pPr>
      <w:r>
        <w:rPr>
          <w:rFonts w:hint="eastAsia" w:ascii="宋体" w:hAnsi="宋体" w:cs="宋体"/>
          <w:szCs w:val="21"/>
        </w:rPr>
        <w:t>10.1.2  承包人还应根据合同进度计划，按照第10.1.1项相关约定编制更为详细的分阶段或分项进度计划，报监理人审批。承包人编制分阶段或分项施工进度计划和施工方案说明的内容及时限要求见合同条款专用部分。</w:t>
      </w:r>
    </w:p>
    <w:p w14:paraId="1E304A58">
      <w:pPr>
        <w:tabs>
          <w:tab w:val="left" w:pos="3855"/>
        </w:tabs>
        <w:spacing w:line="360" w:lineRule="auto"/>
        <w:outlineLvl w:val="2"/>
        <w:rPr>
          <w:rFonts w:ascii="宋体" w:hAnsi="宋体" w:cs="宋体"/>
          <w:szCs w:val="21"/>
        </w:rPr>
      </w:pPr>
      <w:r>
        <w:rPr>
          <w:rFonts w:hint="eastAsia" w:ascii="宋体" w:hAnsi="宋体" w:cs="宋体"/>
          <w:szCs w:val="21"/>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14:paraId="3DA0E0F2">
      <w:pPr>
        <w:tabs>
          <w:tab w:val="left" w:pos="3855"/>
        </w:tabs>
        <w:spacing w:line="360" w:lineRule="auto"/>
        <w:outlineLvl w:val="1"/>
        <w:rPr>
          <w:rFonts w:ascii="宋体" w:hAnsi="宋体" w:cs="宋体"/>
          <w:szCs w:val="21"/>
        </w:rPr>
      </w:pPr>
      <w:bookmarkStart w:id="1495" w:name="_Toc480486800"/>
      <w:bookmarkStart w:id="1496" w:name="_Toc483668147"/>
      <w:bookmarkStart w:id="1497" w:name="_Toc497456508"/>
      <w:bookmarkStart w:id="1498" w:name="_Toc338944774"/>
      <w:bookmarkStart w:id="1499" w:name="_Toc480486972"/>
      <w:bookmarkStart w:id="1500" w:name="_Toc489279929"/>
      <w:bookmarkStart w:id="1501" w:name="_Toc342296332"/>
      <w:bookmarkStart w:id="1502" w:name="_Toc486580118"/>
      <w:bookmarkStart w:id="1503" w:name="_Toc490222563"/>
      <w:r>
        <w:rPr>
          <w:rFonts w:hint="eastAsia" w:ascii="宋体" w:hAnsi="宋体" w:cs="宋体"/>
          <w:szCs w:val="21"/>
        </w:rPr>
        <w:t>10.2  合同进度计划的修订</w:t>
      </w:r>
      <w:bookmarkEnd w:id="1495"/>
      <w:bookmarkEnd w:id="1496"/>
      <w:bookmarkEnd w:id="1497"/>
      <w:bookmarkEnd w:id="1498"/>
      <w:bookmarkEnd w:id="1499"/>
      <w:bookmarkEnd w:id="1500"/>
      <w:bookmarkEnd w:id="1501"/>
      <w:bookmarkEnd w:id="1502"/>
      <w:bookmarkEnd w:id="1503"/>
    </w:p>
    <w:p w14:paraId="5FE2689F">
      <w:pPr>
        <w:tabs>
          <w:tab w:val="left" w:pos="3855"/>
        </w:tabs>
        <w:spacing w:line="360" w:lineRule="auto"/>
        <w:outlineLvl w:val="2"/>
        <w:rPr>
          <w:rFonts w:ascii="宋体" w:hAnsi="宋体" w:cs="宋体"/>
          <w:szCs w:val="21"/>
        </w:rPr>
      </w:pPr>
      <w:r>
        <w:rPr>
          <w:rFonts w:hint="eastAsia" w:ascii="宋体" w:hAnsi="宋体" w:cs="宋体"/>
          <w:szCs w:val="21"/>
        </w:rPr>
        <w:t>10.2.1  不论何种原因造成工程的实际进度与第10.1款的合同进度计划不符时，承包人可以在合同条款专用部分约定的期限内向监理人提交修订合同进度计划的申请报告，并附有关措施和相关资料，报监理人审批；</w:t>
      </w:r>
    </w:p>
    <w:p w14:paraId="0BD48B42">
      <w:pPr>
        <w:tabs>
          <w:tab w:val="left" w:pos="3855"/>
        </w:tabs>
        <w:spacing w:line="360" w:lineRule="auto"/>
        <w:outlineLvl w:val="2"/>
        <w:rPr>
          <w:rFonts w:ascii="宋体" w:hAnsi="宋体" w:cs="宋体"/>
          <w:szCs w:val="21"/>
        </w:rPr>
      </w:pPr>
      <w:r>
        <w:rPr>
          <w:rFonts w:hint="eastAsia" w:ascii="宋体" w:hAnsi="宋体" w:cs="宋体"/>
          <w:szCs w:val="21"/>
        </w:rPr>
        <w:t>10.2.2  监理人也可以直接向承包人作出修订合同进度计划的指示，承包人应按该指示修订合同进度计划，报监理人审批。监理人应在合同条款专用部分约定的期限内完成批复。监理人在批复前应获得发包人同意。</w:t>
      </w:r>
    </w:p>
    <w:p w14:paraId="73EF213D">
      <w:pPr>
        <w:tabs>
          <w:tab w:val="left" w:pos="3855"/>
        </w:tabs>
        <w:spacing w:line="360" w:lineRule="auto"/>
        <w:outlineLvl w:val="0"/>
        <w:rPr>
          <w:rFonts w:ascii="宋体" w:hAnsi="宋体" w:cs="宋体"/>
          <w:szCs w:val="21"/>
        </w:rPr>
      </w:pPr>
      <w:bookmarkStart w:id="1504" w:name="_Toc490222564"/>
      <w:bookmarkStart w:id="1505" w:name="_Toc338944775"/>
      <w:bookmarkStart w:id="1506" w:name="_Toc483668148"/>
      <w:bookmarkStart w:id="1507" w:name="_Toc497456509"/>
      <w:bookmarkStart w:id="1508" w:name="_Toc342296333"/>
      <w:bookmarkStart w:id="1509" w:name="_Toc480486801"/>
      <w:bookmarkStart w:id="1510" w:name="_Toc480486973"/>
      <w:bookmarkStart w:id="1511" w:name="_Toc486580119"/>
      <w:bookmarkStart w:id="1512" w:name="_Toc489279930"/>
      <w:r>
        <w:rPr>
          <w:rFonts w:hint="eastAsia" w:ascii="宋体" w:hAnsi="宋体" w:cs="宋体"/>
          <w:szCs w:val="21"/>
        </w:rPr>
        <w:t>11.开工和竣工</w:t>
      </w:r>
      <w:bookmarkEnd w:id="1504"/>
      <w:bookmarkEnd w:id="1505"/>
      <w:bookmarkEnd w:id="1506"/>
      <w:bookmarkEnd w:id="1507"/>
      <w:bookmarkEnd w:id="1508"/>
      <w:bookmarkEnd w:id="1509"/>
      <w:bookmarkEnd w:id="1510"/>
      <w:bookmarkEnd w:id="1511"/>
      <w:bookmarkEnd w:id="1512"/>
    </w:p>
    <w:p w14:paraId="37DB1F31">
      <w:pPr>
        <w:tabs>
          <w:tab w:val="left" w:pos="3855"/>
        </w:tabs>
        <w:spacing w:line="360" w:lineRule="auto"/>
        <w:outlineLvl w:val="1"/>
        <w:rPr>
          <w:rFonts w:ascii="宋体" w:hAnsi="宋体" w:cs="宋体"/>
          <w:szCs w:val="21"/>
        </w:rPr>
      </w:pPr>
      <w:bookmarkStart w:id="1513" w:name="_Toc338944776"/>
      <w:bookmarkStart w:id="1514" w:name="_Toc152042461"/>
      <w:bookmarkStart w:id="1515" w:name="_Toc342296334"/>
      <w:bookmarkStart w:id="1516" w:name="_Toc144974651"/>
      <w:bookmarkStart w:id="1517" w:name="_Toc486580120"/>
      <w:bookmarkStart w:id="1518" w:name="_Toc179632701"/>
      <w:bookmarkStart w:id="1519" w:name="_Toc480486974"/>
      <w:bookmarkStart w:id="1520" w:name="_Toc497456510"/>
      <w:bookmarkStart w:id="1521" w:name="_Toc489279931"/>
      <w:bookmarkStart w:id="1522" w:name="_Toc152045683"/>
      <w:bookmarkStart w:id="1523" w:name="_Toc483668149"/>
      <w:bookmarkStart w:id="1524" w:name="_Toc480486802"/>
      <w:bookmarkStart w:id="1525" w:name="_Toc490222565"/>
      <w:r>
        <w:rPr>
          <w:rFonts w:hint="eastAsia" w:ascii="宋体" w:hAnsi="宋体" w:cs="宋体"/>
          <w:szCs w:val="21"/>
        </w:rPr>
        <w:t>11.1  开工</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14:paraId="6C48625B">
      <w:pPr>
        <w:tabs>
          <w:tab w:val="left" w:pos="3855"/>
        </w:tabs>
        <w:spacing w:line="360" w:lineRule="auto"/>
        <w:outlineLvl w:val="2"/>
        <w:rPr>
          <w:rFonts w:ascii="宋体" w:hAnsi="宋体" w:cs="宋体"/>
          <w:szCs w:val="21"/>
        </w:rPr>
      </w:pPr>
      <w:r>
        <w:rPr>
          <w:rFonts w:hint="eastAsia" w:ascii="宋体" w:hAnsi="宋体" w:cs="宋体"/>
          <w:szCs w:val="21"/>
        </w:rPr>
        <w:t>11.1.1  监理人应在开工日期7天前向承包人发出开工通知。监理人在发出开工通知前应获得发包人同意。工期自监理人发出的开工通知中载明的开工日期起计算。承包人应在开工日期后尽快施工。</w:t>
      </w:r>
    </w:p>
    <w:p w14:paraId="2FF228CF">
      <w:pPr>
        <w:tabs>
          <w:tab w:val="left" w:pos="3855"/>
        </w:tabs>
        <w:spacing w:line="360" w:lineRule="auto"/>
        <w:outlineLvl w:val="2"/>
        <w:rPr>
          <w:rFonts w:ascii="宋体" w:hAnsi="宋体" w:cs="宋体"/>
          <w:szCs w:val="21"/>
        </w:rPr>
      </w:pPr>
      <w:r>
        <w:rPr>
          <w:rFonts w:hint="eastAsia" w:ascii="宋体" w:hAnsi="宋体" w:cs="宋体"/>
          <w:szCs w:val="21"/>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78144877">
      <w:pPr>
        <w:tabs>
          <w:tab w:val="left" w:pos="3855"/>
        </w:tabs>
        <w:spacing w:line="360" w:lineRule="auto"/>
        <w:outlineLvl w:val="1"/>
        <w:rPr>
          <w:rFonts w:ascii="宋体" w:hAnsi="宋体" w:cs="宋体"/>
          <w:szCs w:val="21"/>
        </w:rPr>
      </w:pPr>
      <w:bookmarkStart w:id="1526" w:name="_Toc480486803"/>
      <w:bookmarkStart w:id="1527" w:name="_Toc483668150"/>
      <w:bookmarkStart w:id="1528" w:name="_Toc342296335"/>
      <w:bookmarkStart w:id="1529" w:name="_Toc486580121"/>
      <w:bookmarkStart w:id="1530" w:name="_Toc489279932"/>
      <w:bookmarkStart w:id="1531" w:name="_Toc490222566"/>
      <w:bookmarkStart w:id="1532" w:name="_Toc338944777"/>
      <w:bookmarkStart w:id="1533" w:name="_Toc497456511"/>
      <w:bookmarkStart w:id="1534" w:name="_Toc144974652"/>
      <w:bookmarkStart w:id="1535" w:name="_Toc152045684"/>
      <w:bookmarkStart w:id="1536" w:name="_Toc179632702"/>
      <w:bookmarkStart w:id="1537" w:name="_Toc152042462"/>
      <w:bookmarkStart w:id="1538" w:name="_Toc480486975"/>
      <w:r>
        <w:rPr>
          <w:rFonts w:hint="eastAsia" w:ascii="宋体" w:hAnsi="宋体" w:cs="宋体"/>
          <w:szCs w:val="21"/>
        </w:rPr>
        <w:t>11.2  竣工</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14:paraId="3D2CF112">
      <w:pPr>
        <w:tabs>
          <w:tab w:val="left" w:pos="3855"/>
        </w:tabs>
        <w:spacing w:line="360" w:lineRule="auto"/>
        <w:rPr>
          <w:rFonts w:ascii="宋体" w:hAnsi="宋体" w:cs="宋体"/>
          <w:szCs w:val="21"/>
        </w:rPr>
      </w:pPr>
      <w:r>
        <w:rPr>
          <w:rFonts w:hint="eastAsia" w:ascii="宋体" w:hAnsi="宋体" w:cs="宋体"/>
          <w:szCs w:val="21"/>
        </w:rPr>
        <w:t>承包人应在第1.1.4.3目约定的期限内完成合同工程。实际竣工日期在接收证书中写明。</w:t>
      </w:r>
    </w:p>
    <w:p w14:paraId="0029127D">
      <w:pPr>
        <w:tabs>
          <w:tab w:val="left" w:pos="3855"/>
        </w:tabs>
        <w:spacing w:line="360" w:lineRule="auto"/>
        <w:outlineLvl w:val="1"/>
        <w:rPr>
          <w:rFonts w:ascii="宋体" w:hAnsi="宋体" w:cs="宋体"/>
          <w:szCs w:val="21"/>
        </w:rPr>
      </w:pPr>
      <w:bookmarkStart w:id="1539" w:name="_Toc486580122"/>
      <w:bookmarkStart w:id="1540" w:name="_Toc497456512"/>
      <w:bookmarkStart w:id="1541" w:name="_Toc483668151"/>
      <w:bookmarkStart w:id="1542" w:name="_Toc338944778"/>
      <w:bookmarkStart w:id="1543" w:name="_Toc480486976"/>
      <w:bookmarkStart w:id="1544" w:name="_Toc490222567"/>
      <w:bookmarkStart w:id="1545" w:name="_Toc342296336"/>
      <w:bookmarkStart w:id="1546" w:name="_Toc489279933"/>
      <w:bookmarkStart w:id="1547" w:name="_Toc480486804"/>
      <w:r>
        <w:rPr>
          <w:rFonts w:hint="eastAsia" w:ascii="宋体" w:hAnsi="宋体" w:cs="宋体"/>
          <w:szCs w:val="21"/>
        </w:rPr>
        <w:t>11.3  发包人的工期延误</w:t>
      </w:r>
      <w:bookmarkEnd w:id="1539"/>
      <w:bookmarkEnd w:id="1540"/>
      <w:bookmarkEnd w:id="1541"/>
      <w:bookmarkEnd w:id="1542"/>
      <w:bookmarkEnd w:id="1543"/>
      <w:bookmarkEnd w:id="1544"/>
      <w:bookmarkEnd w:id="1545"/>
      <w:bookmarkEnd w:id="1546"/>
      <w:bookmarkEnd w:id="1547"/>
    </w:p>
    <w:p w14:paraId="42B6FBCF">
      <w:pPr>
        <w:tabs>
          <w:tab w:val="left" w:pos="3855"/>
        </w:tabs>
        <w:spacing w:line="360" w:lineRule="auto"/>
        <w:rPr>
          <w:rFonts w:ascii="宋体" w:hAnsi="宋体" w:cs="宋体"/>
          <w:szCs w:val="21"/>
        </w:rPr>
      </w:pPr>
      <w:r>
        <w:rPr>
          <w:rFonts w:hint="eastAsia" w:ascii="宋体" w:hAnsi="宋体" w:cs="宋体"/>
          <w:szCs w:val="21"/>
        </w:rPr>
        <w:t>在履行合同过程中，由于发包人的下列原因造成承包人关键线路工期延误的，承包人有权要求发包人延长工期和（或）增加费用。需要修订合同进度计划的，按照第10.2款的约定办理。</w:t>
      </w:r>
    </w:p>
    <w:p w14:paraId="00E70919">
      <w:pPr>
        <w:tabs>
          <w:tab w:val="left" w:pos="3855"/>
        </w:tabs>
        <w:spacing w:line="360" w:lineRule="auto"/>
        <w:rPr>
          <w:rFonts w:ascii="宋体" w:hAnsi="宋体" w:cs="宋体"/>
          <w:szCs w:val="21"/>
        </w:rPr>
      </w:pPr>
      <w:r>
        <w:rPr>
          <w:rFonts w:hint="eastAsia" w:ascii="宋体" w:hAnsi="宋体" w:cs="宋体"/>
          <w:szCs w:val="21"/>
        </w:rPr>
        <w:t>（1）增加合同工作内容；</w:t>
      </w:r>
    </w:p>
    <w:p w14:paraId="3A54BE3A">
      <w:pPr>
        <w:tabs>
          <w:tab w:val="left" w:pos="3855"/>
        </w:tabs>
        <w:spacing w:line="360" w:lineRule="auto"/>
        <w:rPr>
          <w:rFonts w:ascii="宋体" w:hAnsi="宋体" w:cs="宋体"/>
          <w:szCs w:val="21"/>
        </w:rPr>
      </w:pPr>
      <w:r>
        <w:rPr>
          <w:rFonts w:hint="eastAsia" w:ascii="宋体" w:hAnsi="宋体" w:cs="宋体"/>
          <w:szCs w:val="21"/>
        </w:rPr>
        <w:t>（2）改变合同中任何一项工作的质量要求或其他特性；</w:t>
      </w:r>
    </w:p>
    <w:p w14:paraId="60128F1C">
      <w:pPr>
        <w:tabs>
          <w:tab w:val="left" w:pos="3855"/>
        </w:tabs>
        <w:spacing w:line="360" w:lineRule="auto"/>
        <w:rPr>
          <w:rFonts w:ascii="宋体" w:hAnsi="宋体" w:cs="宋体"/>
          <w:szCs w:val="21"/>
        </w:rPr>
      </w:pPr>
      <w:r>
        <w:rPr>
          <w:rFonts w:hint="eastAsia" w:ascii="宋体" w:hAnsi="宋体" w:cs="宋体"/>
          <w:szCs w:val="21"/>
        </w:rPr>
        <w:t>（3）发包人迟延提供材料、工程设备或变更交货地点的；</w:t>
      </w:r>
    </w:p>
    <w:p w14:paraId="43091AE2">
      <w:pPr>
        <w:tabs>
          <w:tab w:val="left" w:pos="3855"/>
        </w:tabs>
        <w:spacing w:line="360" w:lineRule="auto"/>
        <w:rPr>
          <w:rFonts w:ascii="宋体" w:hAnsi="宋体" w:cs="宋体"/>
          <w:szCs w:val="21"/>
        </w:rPr>
      </w:pPr>
      <w:r>
        <w:rPr>
          <w:rFonts w:hint="eastAsia" w:ascii="宋体" w:hAnsi="宋体" w:cs="宋体"/>
          <w:szCs w:val="21"/>
        </w:rPr>
        <w:t>（4）因发包人原因导致的暂停施工；</w:t>
      </w:r>
    </w:p>
    <w:p w14:paraId="4F5937A7">
      <w:pPr>
        <w:tabs>
          <w:tab w:val="left" w:pos="3855"/>
        </w:tabs>
        <w:spacing w:line="360" w:lineRule="auto"/>
        <w:rPr>
          <w:rFonts w:ascii="宋体" w:hAnsi="宋体" w:cs="宋体"/>
          <w:szCs w:val="21"/>
        </w:rPr>
      </w:pPr>
      <w:r>
        <w:rPr>
          <w:rFonts w:hint="eastAsia" w:ascii="宋体" w:hAnsi="宋体" w:cs="宋体"/>
          <w:szCs w:val="21"/>
        </w:rPr>
        <w:t>（5）提供图纸延误；</w:t>
      </w:r>
    </w:p>
    <w:p w14:paraId="2CB8DC8F">
      <w:pPr>
        <w:tabs>
          <w:tab w:val="left" w:pos="3855"/>
        </w:tabs>
        <w:spacing w:line="360" w:lineRule="auto"/>
        <w:rPr>
          <w:rFonts w:ascii="宋体" w:hAnsi="宋体" w:cs="宋体"/>
          <w:szCs w:val="21"/>
        </w:rPr>
      </w:pPr>
      <w:r>
        <w:rPr>
          <w:rFonts w:hint="eastAsia" w:ascii="宋体" w:hAnsi="宋体" w:cs="宋体"/>
          <w:szCs w:val="21"/>
        </w:rPr>
        <w:t>（6）未按合同约定及时支付预付款、进度款；</w:t>
      </w:r>
    </w:p>
    <w:p w14:paraId="4AF21A16">
      <w:pPr>
        <w:tabs>
          <w:tab w:val="left" w:pos="3855"/>
        </w:tabs>
        <w:spacing w:line="360" w:lineRule="auto"/>
        <w:rPr>
          <w:rFonts w:ascii="宋体" w:hAnsi="宋体" w:cs="宋体"/>
          <w:szCs w:val="21"/>
        </w:rPr>
      </w:pPr>
      <w:r>
        <w:rPr>
          <w:rFonts w:hint="eastAsia" w:ascii="宋体" w:hAnsi="宋体" w:cs="宋体"/>
          <w:szCs w:val="21"/>
        </w:rPr>
        <w:t xml:space="preserve">（7）因发包人原因不能按照监理人发出的开工通知中载明的开工日期开工； </w:t>
      </w:r>
    </w:p>
    <w:p w14:paraId="44DFAA6A">
      <w:pPr>
        <w:tabs>
          <w:tab w:val="left" w:pos="3855"/>
        </w:tabs>
        <w:spacing w:line="360" w:lineRule="auto"/>
        <w:rPr>
          <w:rFonts w:ascii="宋体" w:hAnsi="宋体" w:cs="宋体"/>
          <w:szCs w:val="21"/>
        </w:rPr>
      </w:pPr>
      <w:r>
        <w:rPr>
          <w:rFonts w:hint="eastAsia" w:ascii="宋体" w:hAnsi="宋体" w:cs="宋体"/>
          <w:szCs w:val="21"/>
        </w:rPr>
        <w:t>（8）发包人造成工期延误的其他原因见合同条款专用部分。</w:t>
      </w:r>
    </w:p>
    <w:p w14:paraId="539977FA">
      <w:pPr>
        <w:tabs>
          <w:tab w:val="left" w:pos="3855"/>
        </w:tabs>
        <w:spacing w:line="360" w:lineRule="auto"/>
        <w:outlineLvl w:val="1"/>
        <w:rPr>
          <w:rFonts w:ascii="宋体" w:hAnsi="宋体" w:cs="宋体"/>
          <w:szCs w:val="21"/>
        </w:rPr>
      </w:pPr>
      <w:bookmarkStart w:id="1548" w:name="_Toc480486805"/>
      <w:bookmarkStart w:id="1549" w:name="_Toc490222568"/>
      <w:bookmarkStart w:id="1550" w:name="_Toc338944779"/>
      <w:bookmarkStart w:id="1551" w:name="_Toc489279934"/>
      <w:bookmarkStart w:id="1552" w:name="_Toc486580123"/>
      <w:bookmarkStart w:id="1553" w:name="_Toc342296337"/>
      <w:bookmarkStart w:id="1554" w:name="_Toc480486977"/>
      <w:bookmarkStart w:id="1555" w:name="_Toc483668152"/>
      <w:bookmarkStart w:id="1556" w:name="_Toc497456513"/>
      <w:r>
        <w:rPr>
          <w:rFonts w:hint="eastAsia" w:ascii="宋体" w:hAnsi="宋体" w:cs="宋体"/>
          <w:szCs w:val="21"/>
        </w:rPr>
        <w:t>11.4  异常恶劣的气候条件</w:t>
      </w:r>
      <w:bookmarkEnd w:id="1548"/>
      <w:bookmarkEnd w:id="1549"/>
      <w:bookmarkEnd w:id="1550"/>
      <w:bookmarkEnd w:id="1551"/>
      <w:bookmarkEnd w:id="1552"/>
      <w:bookmarkEnd w:id="1553"/>
      <w:bookmarkEnd w:id="1554"/>
      <w:bookmarkEnd w:id="1555"/>
      <w:bookmarkEnd w:id="1556"/>
    </w:p>
    <w:p w14:paraId="419C98FF">
      <w:pPr>
        <w:tabs>
          <w:tab w:val="left" w:pos="3855"/>
        </w:tabs>
        <w:spacing w:line="360" w:lineRule="auto"/>
        <w:rPr>
          <w:rFonts w:ascii="宋体" w:hAnsi="宋体" w:cs="宋体"/>
          <w:szCs w:val="21"/>
        </w:rPr>
      </w:pPr>
      <w:r>
        <w:rPr>
          <w:rFonts w:hint="eastAsia" w:ascii="宋体" w:hAnsi="宋体" w:cs="宋体"/>
          <w:szCs w:val="21"/>
        </w:rPr>
        <w:t>由于出现异常恶劣气候的条件导致工期延误的，承包人有权要求发包人延长工期。异常恶劣的气候条件的范围和标准见合同条款专用部分。</w:t>
      </w:r>
    </w:p>
    <w:p w14:paraId="2FA64D0C">
      <w:pPr>
        <w:tabs>
          <w:tab w:val="left" w:pos="3855"/>
        </w:tabs>
        <w:spacing w:line="360" w:lineRule="auto"/>
        <w:outlineLvl w:val="1"/>
        <w:rPr>
          <w:rFonts w:ascii="宋体" w:hAnsi="宋体" w:cs="宋体"/>
          <w:szCs w:val="21"/>
        </w:rPr>
      </w:pPr>
      <w:bookmarkStart w:id="1557" w:name="_Toc480486978"/>
      <w:bookmarkStart w:id="1558" w:name="_Toc480486806"/>
      <w:bookmarkStart w:id="1559" w:name="_Toc342296338"/>
      <w:bookmarkStart w:id="1560" w:name="_Toc338944780"/>
      <w:bookmarkStart w:id="1561" w:name="_Toc483668153"/>
      <w:bookmarkStart w:id="1562" w:name="_Toc497456514"/>
      <w:bookmarkStart w:id="1563" w:name="_Toc490222569"/>
      <w:bookmarkStart w:id="1564" w:name="_Toc489279935"/>
      <w:bookmarkStart w:id="1565" w:name="_Toc486580124"/>
      <w:r>
        <w:rPr>
          <w:rFonts w:hint="eastAsia" w:ascii="宋体" w:hAnsi="宋体" w:cs="宋体"/>
          <w:szCs w:val="21"/>
        </w:rPr>
        <w:t>11.5  承包人的工期延误</w:t>
      </w:r>
      <w:bookmarkEnd w:id="1557"/>
      <w:bookmarkEnd w:id="1558"/>
      <w:bookmarkEnd w:id="1559"/>
      <w:bookmarkEnd w:id="1560"/>
      <w:bookmarkEnd w:id="1561"/>
      <w:bookmarkEnd w:id="1562"/>
      <w:bookmarkEnd w:id="1563"/>
      <w:bookmarkEnd w:id="1564"/>
      <w:bookmarkEnd w:id="1565"/>
    </w:p>
    <w:p w14:paraId="19E69A1B">
      <w:pPr>
        <w:tabs>
          <w:tab w:val="left" w:pos="3855"/>
        </w:tabs>
        <w:spacing w:line="360" w:lineRule="auto"/>
        <w:outlineLvl w:val="2"/>
        <w:rPr>
          <w:rFonts w:ascii="宋体" w:hAnsi="宋体" w:cs="宋体"/>
          <w:szCs w:val="21"/>
        </w:rPr>
      </w:pPr>
      <w:r>
        <w:rPr>
          <w:rFonts w:hint="eastAsia" w:ascii="宋体" w:hAnsi="宋体" w:cs="宋体"/>
          <w:szCs w:val="21"/>
        </w:rPr>
        <w:t>11.5.1  由于承包人原因，未能按合同进度计划完成工作，或监理人认为承包人施工进度不能满足合同工期要求的，承包人应采取措施加快进度，并承担加快进度所增加的费用，并承担延期施工的违约责任。</w:t>
      </w:r>
    </w:p>
    <w:p w14:paraId="3EB2C1FE">
      <w:pPr>
        <w:tabs>
          <w:tab w:val="left" w:pos="3855"/>
        </w:tabs>
        <w:spacing w:line="360" w:lineRule="auto"/>
        <w:outlineLvl w:val="2"/>
        <w:rPr>
          <w:rFonts w:ascii="宋体" w:hAnsi="宋体" w:cs="宋体"/>
          <w:szCs w:val="21"/>
        </w:rPr>
      </w:pPr>
      <w:r>
        <w:rPr>
          <w:rFonts w:hint="eastAsia" w:ascii="宋体" w:hAnsi="宋体" w:cs="宋体"/>
          <w:szCs w:val="21"/>
        </w:rPr>
        <w:t>11.5.2  由于承包人原因造成不能按期竣工的，按照合同约定的竣工日期（包括按合同工期延长）后7天内，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14:paraId="6AC91259">
      <w:pPr>
        <w:tabs>
          <w:tab w:val="left" w:pos="3855"/>
        </w:tabs>
        <w:spacing w:line="360" w:lineRule="auto"/>
        <w:outlineLvl w:val="2"/>
        <w:rPr>
          <w:rFonts w:ascii="宋体" w:hAnsi="宋体" w:cs="宋体"/>
          <w:szCs w:val="21"/>
        </w:rPr>
      </w:pPr>
      <w:r>
        <w:rPr>
          <w:rFonts w:hint="eastAsia" w:ascii="宋体" w:hAnsi="宋体" w:cs="宋体"/>
          <w:szCs w:val="21"/>
        </w:rPr>
        <w:t>11.5.3  承包人支付逾期竣工违约金，不免除承包人完成工程及修补缺陷的义务。</w:t>
      </w:r>
    </w:p>
    <w:p w14:paraId="3ED1E1CF">
      <w:pPr>
        <w:tabs>
          <w:tab w:val="left" w:pos="3855"/>
        </w:tabs>
        <w:spacing w:line="360" w:lineRule="auto"/>
        <w:outlineLvl w:val="1"/>
        <w:rPr>
          <w:rFonts w:ascii="宋体" w:hAnsi="宋体" w:cs="宋体"/>
          <w:szCs w:val="21"/>
        </w:rPr>
      </w:pPr>
      <w:bookmarkStart w:id="1566" w:name="_Toc497456515"/>
      <w:bookmarkStart w:id="1567" w:name="_Toc483668154"/>
      <w:bookmarkStart w:id="1568" w:name="_Toc486580125"/>
      <w:bookmarkStart w:id="1569" w:name="_Toc489279936"/>
      <w:bookmarkStart w:id="1570" w:name="_Toc490222570"/>
      <w:bookmarkStart w:id="1571" w:name="_Toc342296339"/>
      <w:bookmarkStart w:id="1572" w:name="_Toc480486979"/>
      <w:bookmarkStart w:id="1573" w:name="_Toc338944781"/>
      <w:bookmarkStart w:id="1574" w:name="_Toc480486807"/>
      <w:r>
        <w:rPr>
          <w:rFonts w:hint="eastAsia" w:ascii="宋体" w:hAnsi="宋体" w:cs="宋体"/>
          <w:szCs w:val="21"/>
        </w:rPr>
        <w:t>11.6  工期提前</w:t>
      </w:r>
      <w:bookmarkEnd w:id="1566"/>
      <w:bookmarkEnd w:id="1567"/>
      <w:bookmarkEnd w:id="1568"/>
      <w:bookmarkEnd w:id="1569"/>
      <w:bookmarkEnd w:id="1570"/>
      <w:bookmarkEnd w:id="1571"/>
      <w:bookmarkEnd w:id="1572"/>
      <w:bookmarkEnd w:id="1573"/>
      <w:bookmarkEnd w:id="1574"/>
    </w:p>
    <w:p w14:paraId="14D0973F">
      <w:pPr>
        <w:tabs>
          <w:tab w:val="left" w:pos="3855"/>
        </w:tabs>
        <w:spacing w:line="360" w:lineRule="auto"/>
        <w:rPr>
          <w:rFonts w:ascii="宋体" w:hAnsi="宋体" w:cs="宋体"/>
          <w:szCs w:val="21"/>
        </w:rPr>
      </w:pPr>
      <w:r>
        <w:rPr>
          <w:rFonts w:hint="eastAsia" w:ascii="宋体" w:hAnsi="宋体" w:cs="宋体"/>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14:paraId="21470595">
      <w:pPr>
        <w:tabs>
          <w:tab w:val="left" w:pos="3855"/>
        </w:tabs>
        <w:spacing w:line="360" w:lineRule="auto"/>
        <w:outlineLvl w:val="0"/>
        <w:rPr>
          <w:rFonts w:ascii="宋体" w:hAnsi="宋体" w:cs="宋体"/>
          <w:szCs w:val="21"/>
        </w:rPr>
      </w:pPr>
      <w:bookmarkStart w:id="1575" w:name="_Toc480486980"/>
      <w:bookmarkStart w:id="1576" w:name="_Toc489279937"/>
      <w:bookmarkStart w:id="1577" w:name="_Toc342296340"/>
      <w:bookmarkStart w:id="1578" w:name="_Toc497456516"/>
      <w:bookmarkStart w:id="1579" w:name="_Toc490222571"/>
      <w:bookmarkStart w:id="1580" w:name="_Toc480486808"/>
      <w:bookmarkStart w:id="1581" w:name="_Toc486580126"/>
      <w:bookmarkStart w:id="1582" w:name="_Toc338944782"/>
      <w:bookmarkStart w:id="1583" w:name="_Toc483668155"/>
      <w:r>
        <w:rPr>
          <w:rFonts w:hint="eastAsia" w:ascii="宋体" w:hAnsi="宋体" w:cs="宋体"/>
          <w:szCs w:val="21"/>
        </w:rPr>
        <w:t>12.暂停施工</w:t>
      </w:r>
      <w:bookmarkEnd w:id="1575"/>
      <w:bookmarkEnd w:id="1576"/>
      <w:bookmarkEnd w:id="1577"/>
      <w:bookmarkEnd w:id="1578"/>
      <w:bookmarkEnd w:id="1579"/>
      <w:bookmarkEnd w:id="1580"/>
      <w:bookmarkEnd w:id="1581"/>
      <w:bookmarkEnd w:id="1582"/>
      <w:bookmarkEnd w:id="1583"/>
    </w:p>
    <w:p w14:paraId="3CADF9B9">
      <w:pPr>
        <w:tabs>
          <w:tab w:val="left" w:pos="3855"/>
        </w:tabs>
        <w:spacing w:line="360" w:lineRule="auto"/>
        <w:outlineLvl w:val="1"/>
        <w:rPr>
          <w:rFonts w:ascii="宋体" w:hAnsi="宋体" w:cs="宋体"/>
          <w:szCs w:val="21"/>
        </w:rPr>
      </w:pPr>
      <w:bookmarkStart w:id="1584" w:name="_Toc480486981"/>
      <w:bookmarkStart w:id="1585" w:name="_Toc342296341"/>
      <w:bookmarkStart w:id="1586" w:name="_Toc480486809"/>
      <w:bookmarkStart w:id="1587" w:name="_Toc489279938"/>
      <w:bookmarkStart w:id="1588" w:name="_Toc497456517"/>
      <w:bookmarkStart w:id="1589" w:name="_Toc490222572"/>
      <w:bookmarkStart w:id="1590" w:name="_Toc486580127"/>
      <w:bookmarkStart w:id="1591" w:name="_Toc338944783"/>
      <w:bookmarkStart w:id="1592" w:name="_Toc483668156"/>
      <w:r>
        <w:rPr>
          <w:rFonts w:hint="eastAsia" w:ascii="宋体" w:hAnsi="宋体" w:cs="宋体"/>
          <w:szCs w:val="21"/>
        </w:rPr>
        <w:t>12.1  承包人暂停施工的责任</w:t>
      </w:r>
      <w:bookmarkEnd w:id="1584"/>
      <w:bookmarkEnd w:id="1585"/>
      <w:bookmarkEnd w:id="1586"/>
      <w:bookmarkEnd w:id="1587"/>
      <w:bookmarkEnd w:id="1588"/>
      <w:bookmarkEnd w:id="1589"/>
      <w:bookmarkEnd w:id="1590"/>
      <w:bookmarkEnd w:id="1591"/>
      <w:bookmarkEnd w:id="1592"/>
    </w:p>
    <w:p w14:paraId="79520AD1">
      <w:pPr>
        <w:tabs>
          <w:tab w:val="left" w:pos="3855"/>
        </w:tabs>
        <w:spacing w:line="360" w:lineRule="auto"/>
        <w:rPr>
          <w:rFonts w:ascii="宋体" w:hAnsi="宋体" w:cs="宋体"/>
          <w:szCs w:val="21"/>
        </w:rPr>
      </w:pPr>
      <w:r>
        <w:rPr>
          <w:rFonts w:hint="eastAsia" w:ascii="宋体" w:hAnsi="宋体" w:cs="宋体"/>
          <w:szCs w:val="21"/>
        </w:rPr>
        <w:t>因承包人原因引起的暂停施工造成工期延误的，发包人有权要求承包人承担暂停施工增加的费用和（或）工期延误的违约责任，包括但不限于以下暂停施工情形：</w:t>
      </w:r>
    </w:p>
    <w:p w14:paraId="5B75E13F">
      <w:pPr>
        <w:tabs>
          <w:tab w:val="left" w:pos="3855"/>
        </w:tabs>
        <w:spacing w:line="360" w:lineRule="auto"/>
        <w:rPr>
          <w:rFonts w:ascii="宋体" w:hAnsi="宋体" w:cs="宋体"/>
          <w:szCs w:val="21"/>
        </w:rPr>
      </w:pPr>
      <w:r>
        <w:rPr>
          <w:rFonts w:hint="eastAsia" w:ascii="宋体" w:hAnsi="宋体" w:cs="宋体"/>
          <w:szCs w:val="21"/>
        </w:rPr>
        <w:t>（1）承包人违约引起的暂停施工；</w:t>
      </w:r>
    </w:p>
    <w:p w14:paraId="544F0853">
      <w:pPr>
        <w:tabs>
          <w:tab w:val="left" w:pos="3855"/>
        </w:tabs>
        <w:spacing w:line="360" w:lineRule="auto"/>
        <w:rPr>
          <w:rFonts w:ascii="宋体" w:hAnsi="宋体" w:cs="宋体"/>
          <w:szCs w:val="21"/>
        </w:rPr>
      </w:pPr>
      <w:r>
        <w:rPr>
          <w:rFonts w:hint="eastAsia" w:ascii="宋体" w:hAnsi="宋体" w:cs="宋体"/>
          <w:szCs w:val="21"/>
        </w:rPr>
        <w:t>（2）由于承包人原因为工程合理施工和安全保障所必需的暂停施工；</w:t>
      </w:r>
    </w:p>
    <w:p w14:paraId="76FF3B34">
      <w:pPr>
        <w:tabs>
          <w:tab w:val="left" w:pos="3855"/>
        </w:tabs>
        <w:spacing w:line="360" w:lineRule="auto"/>
        <w:rPr>
          <w:rFonts w:ascii="宋体" w:hAnsi="宋体" w:cs="宋体"/>
          <w:szCs w:val="21"/>
        </w:rPr>
      </w:pPr>
      <w:r>
        <w:rPr>
          <w:rFonts w:hint="eastAsia" w:ascii="宋体" w:hAnsi="宋体" w:cs="宋体"/>
          <w:szCs w:val="21"/>
        </w:rPr>
        <w:t>（3）承包人擅自暂停施工；</w:t>
      </w:r>
    </w:p>
    <w:p w14:paraId="388F3F0A">
      <w:pPr>
        <w:tabs>
          <w:tab w:val="left" w:pos="3855"/>
        </w:tabs>
        <w:spacing w:line="360" w:lineRule="auto"/>
        <w:rPr>
          <w:rFonts w:ascii="宋体" w:hAnsi="宋体" w:cs="宋体"/>
          <w:szCs w:val="21"/>
        </w:rPr>
      </w:pPr>
      <w:r>
        <w:rPr>
          <w:rFonts w:hint="eastAsia" w:ascii="宋体" w:hAnsi="宋体" w:cs="宋体"/>
          <w:szCs w:val="21"/>
        </w:rPr>
        <w:t>（4）承包人承担暂停施工责任的其他情形见合同条款专用部分。</w:t>
      </w:r>
    </w:p>
    <w:p w14:paraId="6A7233EE">
      <w:pPr>
        <w:tabs>
          <w:tab w:val="left" w:pos="3855"/>
        </w:tabs>
        <w:spacing w:line="360" w:lineRule="auto"/>
        <w:outlineLvl w:val="1"/>
        <w:rPr>
          <w:rFonts w:ascii="宋体" w:hAnsi="宋体" w:cs="宋体"/>
          <w:szCs w:val="21"/>
        </w:rPr>
      </w:pPr>
      <w:bookmarkStart w:id="1593" w:name="_Toc490222573"/>
      <w:bookmarkStart w:id="1594" w:name="_Toc338944784"/>
      <w:bookmarkStart w:id="1595" w:name="_Toc483668157"/>
      <w:bookmarkStart w:id="1596" w:name="_Toc480486810"/>
      <w:bookmarkStart w:id="1597" w:name="_Toc342296342"/>
      <w:bookmarkStart w:id="1598" w:name="_Toc486580128"/>
      <w:bookmarkStart w:id="1599" w:name="_Toc144974660"/>
      <w:bookmarkStart w:id="1600" w:name="_Toc497456518"/>
      <w:bookmarkStart w:id="1601" w:name="_Toc152045691"/>
      <w:bookmarkStart w:id="1602" w:name="_Toc480486982"/>
      <w:bookmarkStart w:id="1603" w:name="_Toc179632709"/>
      <w:bookmarkStart w:id="1604" w:name="_Toc152042469"/>
      <w:bookmarkStart w:id="1605" w:name="_Toc489279939"/>
      <w:r>
        <w:rPr>
          <w:rFonts w:hint="eastAsia" w:ascii="宋体" w:hAnsi="宋体" w:cs="宋体"/>
          <w:szCs w:val="21"/>
        </w:rPr>
        <w:t>12.2  发包人暂停施工的责任</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3A3F0E5F">
      <w:pPr>
        <w:tabs>
          <w:tab w:val="left" w:pos="3855"/>
        </w:tabs>
        <w:spacing w:line="360" w:lineRule="auto"/>
        <w:rPr>
          <w:rFonts w:ascii="宋体" w:hAnsi="宋体" w:cs="宋体"/>
          <w:szCs w:val="21"/>
        </w:rPr>
      </w:pPr>
      <w:r>
        <w:rPr>
          <w:rFonts w:hint="eastAsia" w:ascii="宋体" w:hAnsi="宋体" w:cs="宋体"/>
          <w:szCs w:val="21"/>
        </w:rPr>
        <w:t>由于发包人原因引起的暂停施工造成工期延误的，承包人有权要求发包人延长工期和（或）增加费用。</w:t>
      </w:r>
    </w:p>
    <w:p w14:paraId="20173558">
      <w:pPr>
        <w:tabs>
          <w:tab w:val="left" w:pos="3855"/>
        </w:tabs>
        <w:spacing w:line="360" w:lineRule="auto"/>
        <w:outlineLvl w:val="1"/>
        <w:rPr>
          <w:rFonts w:ascii="宋体" w:hAnsi="宋体" w:cs="宋体"/>
          <w:szCs w:val="21"/>
        </w:rPr>
      </w:pPr>
      <w:bookmarkStart w:id="1606" w:name="_Toc342296343"/>
      <w:bookmarkStart w:id="1607" w:name="_Toc486580129"/>
      <w:bookmarkStart w:id="1608" w:name="_Toc490222574"/>
      <w:bookmarkStart w:id="1609" w:name="_Toc179632710"/>
      <w:bookmarkStart w:id="1610" w:name="_Toc489279940"/>
      <w:bookmarkStart w:id="1611" w:name="_Toc480486983"/>
      <w:bookmarkStart w:id="1612" w:name="_Toc480486811"/>
      <w:bookmarkStart w:id="1613" w:name="_Toc497456519"/>
      <w:bookmarkStart w:id="1614" w:name="_Toc152045692"/>
      <w:bookmarkStart w:id="1615" w:name="_Toc144974661"/>
      <w:bookmarkStart w:id="1616" w:name="_Toc338944785"/>
      <w:bookmarkStart w:id="1617" w:name="_Toc152042470"/>
      <w:bookmarkStart w:id="1618" w:name="_Toc483668158"/>
      <w:r>
        <w:rPr>
          <w:rFonts w:hint="eastAsia" w:ascii="宋体" w:hAnsi="宋体" w:cs="宋体"/>
          <w:szCs w:val="21"/>
        </w:rPr>
        <w:t>12.3  监理人暂停施工指示</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35663AD9">
      <w:pPr>
        <w:tabs>
          <w:tab w:val="left" w:pos="3855"/>
        </w:tabs>
        <w:spacing w:line="360" w:lineRule="auto"/>
        <w:outlineLvl w:val="2"/>
        <w:rPr>
          <w:rFonts w:ascii="宋体" w:hAnsi="宋体" w:cs="宋体"/>
          <w:szCs w:val="21"/>
        </w:rPr>
      </w:pPr>
      <w:r>
        <w:rPr>
          <w:rFonts w:hint="eastAsia" w:ascii="宋体" w:hAnsi="宋体" w:cs="宋体"/>
          <w:szCs w:val="21"/>
        </w:rPr>
        <w:t>12.3.1  监理人认为有必要时，可向承包人作出暂停施工的指示，承包人应按监理人指示暂停施工。不论由于何种原因引起的暂停施工，暂停施工期间承包人应负责妥善保护工程并提供安全保障。</w:t>
      </w:r>
    </w:p>
    <w:p w14:paraId="2DEC746B">
      <w:pPr>
        <w:tabs>
          <w:tab w:val="left" w:pos="3855"/>
        </w:tabs>
        <w:spacing w:line="360" w:lineRule="auto"/>
        <w:outlineLvl w:val="2"/>
        <w:rPr>
          <w:rFonts w:ascii="宋体" w:hAnsi="宋体" w:cs="宋体"/>
          <w:szCs w:val="21"/>
        </w:rPr>
      </w:pPr>
      <w:r>
        <w:rPr>
          <w:rFonts w:hint="eastAsia" w:ascii="宋体" w:hAnsi="宋体" w:cs="宋体"/>
          <w:szCs w:val="21"/>
        </w:rPr>
        <w:t>12.3.2  由于发包人的原因发生暂停施工的紧急情况，且监理人未及时下达暂停施工指示的，承包人应及时向监理人提出暂停施工的书面请求。监理人应在接到书面请求后的24小时内予以答复。承包人未提出暂停施工的书面请求而擅自停工的，应承担违约停工责任。</w:t>
      </w:r>
    </w:p>
    <w:p w14:paraId="633B01B0">
      <w:pPr>
        <w:tabs>
          <w:tab w:val="left" w:pos="3855"/>
        </w:tabs>
        <w:spacing w:line="360" w:lineRule="auto"/>
        <w:outlineLvl w:val="1"/>
        <w:rPr>
          <w:rFonts w:ascii="宋体" w:hAnsi="宋体" w:cs="宋体"/>
          <w:szCs w:val="21"/>
        </w:rPr>
      </w:pPr>
      <w:bookmarkStart w:id="1619" w:name="_Toc497456520"/>
      <w:bookmarkStart w:id="1620" w:name="_Toc480486984"/>
      <w:bookmarkStart w:id="1621" w:name="_Toc338944786"/>
      <w:bookmarkStart w:id="1622" w:name="_Toc489279941"/>
      <w:bookmarkStart w:id="1623" w:name="_Toc486580130"/>
      <w:bookmarkStart w:id="1624" w:name="_Toc179632711"/>
      <w:bookmarkStart w:id="1625" w:name="_Toc483668159"/>
      <w:bookmarkStart w:id="1626" w:name="_Toc152042471"/>
      <w:bookmarkStart w:id="1627" w:name="_Toc342296344"/>
      <w:bookmarkStart w:id="1628" w:name="_Toc490222575"/>
      <w:bookmarkStart w:id="1629" w:name="_Toc480486812"/>
      <w:bookmarkStart w:id="1630" w:name="_Toc144974662"/>
      <w:bookmarkStart w:id="1631" w:name="_Toc152045693"/>
      <w:r>
        <w:rPr>
          <w:rFonts w:hint="eastAsia" w:ascii="宋体" w:hAnsi="宋体" w:cs="宋体"/>
          <w:szCs w:val="21"/>
        </w:rPr>
        <w:t>12.4  暂停施工后的复工</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69BCAE74">
      <w:pPr>
        <w:tabs>
          <w:tab w:val="left" w:pos="3855"/>
        </w:tabs>
        <w:spacing w:line="360" w:lineRule="auto"/>
        <w:outlineLvl w:val="2"/>
        <w:rPr>
          <w:rFonts w:ascii="宋体" w:hAnsi="宋体" w:cs="宋体"/>
          <w:szCs w:val="21"/>
        </w:rPr>
      </w:pPr>
      <w:r>
        <w:rPr>
          <w:rFonts w:hint="eastAsia" w:ascii="宋体" w:hAnsi="宋体" w:cs="宋体"/>
          <w:szCs w:val="21"/>
        </w:rPr>
        <w:t>12.4.1  暂停施工后，监理人应与发包人和承包人协商，采取有效措施积极消除暂停施工的影响。当工程具备复工条件时，发包人或监理人应立即向承包人发出复工通知。承包人收到复工通知后，应在发包人或监理人指定的期限内复工。</w:t>
      </w:r>
    </w:p>
    <w:p w14:paraId="067D791A">
      <w:pPr>
        <w:tabs>
          <w:tab w:val="left" w:pos="3855"/>
        </w:tabs>
        <w:spacing w:line="360" w:lineRule="auto"/>
        <w:outlineLvl w:val="2"/>
        <w:rPr>
          <w:rFonts w:ascii="宋体" w:hAnsi="宋体" w:cs="宋体"/>
          <w:szCs w:val="21"/>
        </w:rPr>
      </w:pPr>
      <w:r>
        <w:rPr>
          <w:rFonts w:hint="eastAsia" w:ascii="宋体" w:hAnsi="宋体" w:cs="宋体"/>
          <w:szCs w:val="21"/>
        </w:rPr>
        <w:t>12.4.2  承包人无故拖延和拒绝复工的，由此增加的费用和工期延误由承包人承担；因发包人原因无法按时复工的，承包人有权要求发包人延长工期和（或）增加费用。</w:t>
      </w:r>
    </w:p>
    <w:p w14:paraId="169B8F93">
      <w:pPr>
        <w:tabs>
          <w:tab w:val="left" w:pos="3855"/>
        </w:tabs>
        <w:spacing w:line="360" w:lineRule="auto"/>
        <w:outlineLvl w:val="2"/>
        <w:rPr>
          <w:rFonts w:ascii="宋体" w:hAnsi="宋体" w:cs="宋体"/>
          <w:szCs w:val="21"/>
        </w:rPr>
      </w:pPr>
      <w:r>
        <w:rPr>
          <w:rFonts w:hint="eastAsia" w:ascii="宋体" w:hAnsi="宋体" w:cs="宋体"/>
          <w:szCs w:val="21"/>
        </w:rPr>
        <w:t>12.4.3  根据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8DFA58F">
      <w:pPr>
        <w:tabs>
          <w:tab w:val="left" w:pos="3855"/>
        </w:tabs>
        <w:spacing w:line="360" w:lineRule="auto"/>
        <w:outlineLvl w:val="0"/>
        <w:rPr>
          <w:rFonts w:ascii="宋体" w:hAnsi="宋体" w:cs="宋体"/>
          <w:szCs w:val="21"/>
        </w:rPr>
      </w:pPr>
      <w:bookmarkStart w:id="1632" w:name="_Toc483668161"/>
      <w:bookmarkStart w:id="1633" w:name="_Toc480486814"/>
      <w:bookmarkStart w:id="1634" w:name="_Toc490222577"/>
      <w:bookmarkStart w:id="1635" w:name="_Toc480486986"/>
      <w:bookmarkStart w:id="1636" w:name="_Toc497456522"/>
      <w:bookmarkStart w:id="1637" w:name="_Toc338944788"/>
      <w:bookmarkStart w:id="1638" w:name="_Toc342296346"/>
      <w:bookmarkStart w:id="1639" w:name="_Toc486580132"/>
      <w:bookmarkStart w:id="1640" w:name="_Toc489279943"/>
      <w:r>
        <w:rPr>
          <w:rFonts w:hint="eastAsia" w:ascii="宋体" w:hAnsi="宋体" w:cs="宋体"/>
          <w:szCs w:val="21"/>
        </w:rPr>
        <w:t>13.工程质量</w:t>
      </w:r>
      <w:bookmarkEnd w:id="1632"/>
      <w:bookmarkEnd w:id="1633"/>
      <w:bookmarkEnd w:id="1634"/>
      <w:bookmarkEnd w:id="1635"/>
      <w:bookmarkEnd w:id="1636"/>
      <w:bookmarkEnd w:id="1637"/>
      <w:bookmarkEnd w:id="1638"/>
      <w:bookmarkEnd w:id="1639"/>
      <w:bookmarkEnd w:id="1640"/>
    </w:p>
    <w:p w14:paraId="66DF50C3">
      <w:pPr>
        <w:tabs>
          <w:tab w:val="left" w:pos="3855"/>
        </w:tabs>
        <w:spacing w:line="360" w:lineRule="auto"/>
        <w:outlineLvl w:val="1"/>
        <w:rPr>
          <w:rFonts w:ascii="宋体" w:hAnsi="宋体" w:cs="宋体"/>
          <w:szCs w:val="21"/>
        </w:rPr>
      </w:pPr>
      <w:bookmarkStart w:id="1641" w:name="_Toc338944789"/>
      <w:bookmarkStart w:id="1642" w:name="_Toc489279944"/>
      <w:bookmarkStart w:id="1643" w:name="_Toc144974665"/>
      <w:bookmarkStart w:id="1644" w:name="_Toc152042474"/>
      <w:bookmarkStart w:id="1645" w:name="_Toc152045696"/>
      <w:bookmarkStart w:id="1646" w:name="_Toc480486815"/>
      <w:bookmarkStart w:id="1647" w:name="_Toc480486987"/>
      <w:bookmarkStart w:id="1648" w:name="_Toc490222578"/>
      <w:bookmarkStart w:id="1649" w:name="_Toc342296347"/>
      <w:bookmarkStart w:id="1650" w:name="_Toc497456523"/>
      <w:bookmarkStart w:id="1651" w:name="_Toc483668162"/>
      <w:bookmarkStart w:id="1652" w:name="_Toc486580133"/>
      <w:bookmarkStart w:id="1653" w:name="_Toc179632714"/>
      <w:r>
        <w:rPr>
          <w:rFonts w:hint="eastAsia" w:ascii="宋体" w:hAnsi="宋体" w:cs="宋体"/>
          <w:szCs w:val="21"/>
        </w:rPr>
        <w:t>13.1  工程质量要求</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14:paraId="202A45AC">
      <w:pPr>
        <w:tabs>
          <w:tab w:val="left" w:pos="3855"/>
        </w:tabs>
        <w:spacing w:line="360" w:lineRule="auto"/>
        <w:outlineLvl w:val="2"/>
        <w:rPr>
          <w:rFonts w:ascii="宋体" w:hAnsi="宋体" w:cs="宋体"/>
          <w:szCs w:val="21"/>
        </w:rPr>
      </w:pPr>
      <w:r>
        <w:rPr>
          <w:rFonts w:hint="eastAsia" w:ascii="宋体" w:hAnsi="宋体" w:cs="宋体"/>
          <w:szCs w:val="21"/>
        </w:rPr>
        <w:t>13.1.1  工程质量验收按合同约定验收标准执行。</w:t>
      </w:r>
    </w:p>
    <w:p w14:paraId="10BFA27E">
      <w:pPr>
        <w:tabs>
          <w:tab w:val="left" w:pos="3855"/>
        </w:tabs>
        <w:spacing w:line="360" w:lineRule="auto"/>
        <w:outlineLvl w:val="2"/>
        <w:rPr>
          <w:rFonts w:ascii="宋体" w:hAnsi="宋体" w:cs="宋体"/>
          <w:szCs w:val="21"/>
        </w:rPr>
      </w:pPr>
      <w:r>
        <w:rPr>
          <w:rFonts w:hint="eastAsia" w:ascii="宋体" w:hAnsi="宋体" w:cs="宋体"/>
          <w:szCs w:val="21"/>
        </w:rPr>
        <w:t>13.1.2  因承包人原因造成工程质量达不到合同约定验收标准的，监理人有权要求承包人返工直至符合合同要求为止，由此造成的费用增加和（或）工期延误由承包人承担。</w:t>
      </w:r>
    </w:p>
    <w:p w14:paraId="22C9686F">
      <w:pPr>
        <w:tabs>
          <w:tab w:val="left" w:pos="3855"/>
        </w:tabs>
        <w:spacing w:line="360" w:lineRule="auto"/>
        <w:outlineLvl w:val="2"/>
        <w:rPr>
          <w:rFonts w:ascii="宋体" w:hAnsi="宋体" w:cs="宋体"/>
          <w:szCs w:val="21"/>
        </w:rPr>
      </w:pPr>
      <w:r>
        <w:rPr>
          <w:rFonts w:hint="eastAsia" w:ascii="宋体" w:hAnsi="宋体" w:cs="宋体"/>
          <w:szCs w:val="21"/>
        </w:rPr>
        <w:t>13.1.3  因发包人原因造成工程质量达不到合同约定验收标准的，发包人应承担由于承包人返工造成的费用增加和（或）工期延误。</w:t>
      </w:r>
    </w:p>
    <w:p w14:paraId="23B827B1">
      <w:pPr>
        <w:tabs>
          <w:tab w:val="left" w:pos="3855"/>
        </w:tabs>
        <w:spacing w:line="360" w:lineRule="auto"/>
        <w:outlineLvl w:val="1"/>
        <w:rPr>
          <w:rFonts w:ascii="宋体" w:hAnsi="宋体" w:cs="宋体"/>
          <w:szCs w:val="21"/>
        </w:rPr>
      </w:pPr>
      <w:bookmarkStart w:id="1654" w:name="_Toc342296348"/>
      <w:bookmarkStart w:id="1655" w:name="_Toc490222579"/>
      <w:bookmarkStart w:id="1656" w:name="_Toc483668163"/>
      <w:bookmarkStart w:id="1657" w:name="_Toc480486816"/>
      <w:bookmarkStart w:id="1658" w:name="_Toc480486988"/>
      <w:bookmarkStart w:id="1659" w:name="_Toc497456524"/>
      <w:bookmarkStart w:id="1660" w:name="_Toc489279945"/>
      <w:bookmarkStart w:id="1661" w:name="_Toc338944790"/>
      <w:bookmarkStart w:id="1662" w:name="_Toc486580134"/>
      <w:r>
        <w:rPr>
          <w:rFonts w:hint="eastAsia" w:ascii="宋体" w:hAnsi="宋体" w:cs="宋体"/>
          <w:szCs w:val="21"/>
        </w:rPr>
        <w:t>13.2  承包人的质量管理</w:t>
      </w:r>
      <w:bookmarkEnd w:id="1654"/>
      <w:bookmarkEnd w:id="1655"/>
      <w:bookmarkEnd w:id="1656"/>
      <w:bookmarkEnd w:id="1657"/>
      <w:bookmarkEnd w:id="1658"/>
      <w:bookmarkEnd w:id="1659"/>
      <w:bookmarkEnd w:id="1660"/>
      <w:bookmarkEnd w:id="1661"/>
      <w:bookmarkEnd w:id="1662"/>
    </w:p>
    <w:p w14:paraId="6AD78212">
      <w:pPr>
        <w:tabs>
          <w:tab w:val="left" w:pos="3855"/>
        </w:tabs>
        <w:spacing w:line="360" w:lineRule="auto"/>
        <w:outlineLvl w:val="2"/>
        <w:rPr>
          <w:rFonts w:ascii="宋体" w:hAnsi="宋体" w:cs="宋体"/>
          <w:szCs w:val="21"/>
        </w:rPr>
      </w:pPr>
      <w:r>
        <w:rPr>
          <w:rFonts w:hint="eastAsia" w:ascii="宋体" w:hAnsi="宋体" w:cs="宋体"/>
          <w:szCs w:val="21"/>
        </w:rPr>
        <w:t>13.2.1  承包人应在施工场地设置专门的质量检查机构，配备专职质量检查人员，建立完善的质量检查制度。承包人应在合同条款专用部分约定的期限内，提交工程质量保证措施文件，包括质量检查机构的组织和岗位责任、质检人员的组成、质量检查程序和实施细则等，报送监理人备案。</w:t>
      </w:r>
    </w:p>
    <w:p w14:paraId="68A5E565">
      <w:pPr>
        <w:tabs>
          <w:tab w:val="left" w:pos="3855"/>
        </w:tabs>
        <w:spacing w:line="360" w:lineRule="auto"/>
        <w:outlineLvl w:val="2"/>
        <w:rPr>
          <w:rFonts w:ascii="宋体" w:hAnsi="宋体" w:cs="宋体"/>
          <w:szCs w:val="21"/>
        </w:rPr>
      </w:pPr>
      <w:r>
        <w:rPr>
          <w:rFonts w:hint="eastAsia" w:ascii="宋体" w:hAnsi="宋体" w:cs="宋体"/>
          <w:szCs w:val="21"/>
        </w:rPr>
        <w:t>13.2.2  承包人应加强对施工人员的质量教育和技术培训，定期考核施工人员的劳动技能，严格执行规范和操作规程。</w:t>
      </w:r>
    </w:p>
    <w:p w14:paraId="3F5E5372">
      <w:pPr>
        <w:tabs>
          <w:tab w:val="left" w:pos="3855"/>
        </w:tabs>
        <w:spacing w:line="360" w:lineRule="auto"/>
        <w:outlineLvl w:val="1"/>
        <w:rPr>
          <w:rFonts w:ascii="宋体" w:hAnsi="宋体" w:cs="宋体"/>
          <w:szCs w:val="21"/>
        </w:rPr>
      </w:pPr>
      <w:bookmarkStart w:id="1663" w:name="_Toc480486989"/>
      <w:bookmarkStart w:id="1664" w:name="_Toc489279946"/>
      <w:bookmarkStart w:id="1665" w:name="_Toc497456525"/>
      <w:bookmarkStart w:id="1666" w:name="_Toc490222580"/>
      <w:bookmarkStart w:id="1667" w:name="_Toc486580135"/>
      <w:bookmarkStart w:id="1668" w:name="_Toc338944791"/>
      <w:bookmarkStart w:id="1669" w:name="_Toc483668164"/>
      <w:bookmarkStart w:id="1670" w:name="_Toc342296349"/>
      <w:bookmarkStart w:id="1671" w:name="_Toc480486817"/>
      <w:r>
        <w:rPr>
          <w:rFonts w:hint="eastAsia" w:ascii="宋体" w:hAnsi="宋体" w:cs="宋体"/>
          <w:szCs w:val="21"/>
        </w:rPr>
        <w:t>13.3  承包人的质量检查</w:t>
      </w:r>
      <w:bookmarkEnd w:id="1663"/>
      <w:bookmarkEnd w:id="1664"/>
      <w:bookmarkEnd w:id="1665"/>
      <w:bookmarkEnd w:id="1666"/>
      <w:bookmarkEnd w:id="1667"/>
      <w:bookmarkEnd w:id="1668"/>
      <w:bookmarkEnd w:id="1669"/>
      <w:bookmarkEnd w:id="1670"/>
      <w:bookmarkEnd w:id="1671"/>
    </w:p>
    <w:p w14:paraId="20B40AA4">
      <w:pPr>
        <w:tabs>
          <w:tab w:val="left" w:pos="3855"/>
        </w:tabs>
        <w:spacing w:line="360" w:lineRule="auto"/>
        <w:rPr>
          <w:rFonts w:ascii="宋体" w:hAnsi="宋体" w:cs="宋体"/>
          <w:szCs w:val="21"/>
        </w:rPr>
      </w:pPr>
      <w:r>
        <w:rPr>
          <w:rFonts w:hint="eastAsia" w:ascii="宋体" w:hAnsi="宋体" w:cs="宋体"/>
          <w:szCs w:val="21"/>
        </w:rPr>
        <w:t>承包人应按合同条款专用部分的约定对材料、工程设备以及工程的所有部位及其施工工艺进行全过程的质量检查和检验，并作详细记录，编制工程质量报表，报送监理人备案。</w:t>
      </w:r>
      <w:bookmarkStart w:id="1672" w:name="_Toc497456526"/>
      <w:bookmarkStart w:id="1673" w:name="_Toc342296350"/>
      <w:bookmarkStart w:id="1674" w:name="_Toc490222581"/>
      <w:bookmarkStart w:id="1675" w:name="_Toc480486990"/>
      <w:bookmarkStart w:id="1676" w:name="_Toc338944792"/>
      <w:bookmarkStart w:id="1677" w:name="_Toc489279947"/>
      <w:bookmarkStart w:id="1678" w:name="_Toc486580136"/>
      <w:bookmarkStart w:id="1679" w:name="_Toc480486818"/>
      <w:bookmarkStart w:id="1680" w:name="_Toc483668165"/>
    </w:p>
    <w:p w14:paraId="36090155">
      <w:pPr>
        <w:tabs>
          <w:tab w:val="left" w:pos="3855"/>
        </w:tabs>
        <w:spacing w:line="360" w:lineRule="auto"/>
        <w:outlineLvl w:val="1"/>
        <w:rPr>
          <w:rFonts w:ascii="宋体" w:hAnsi="宋体" w:cs="宋体"/>
          <w:szCs w:val="21"/>
        </w:rPr>
      </w:pPr>
      <w:r>
        <w:rPr>
          <w:rFonts w:hint="eastAsia" w:ascii="宋体" w:hAnsi="宋体" w:cs="宋体"/>
          <w:szCs w:val="21"/>
        </w:rPr>
        <w:t>13.4  监理人的质量检查</w:t>
      </w:r>
      <w:bookmarkEnd w:id="1672"/>
      <w:bookmarkEnd w:id="1673"/>
      <w:bookmarkEnd w:id="1674"/>
      <w:bookmarkEnd w:id="1675"/>
      <w:bookmarkEnd w:id="1676"/>
      <w:bookmarkEnd w:id="1677"/>
      <w:bookmarkEnd w:id="1678"/>
      <w:bookmarkEnd w:id="1679"/>
      <w:bookmarkEnd w:id="1680"/>
    </w:p>
    <w:p w14:paraId="1284E5DC">
      <w:pPr>
        <w:tabs>
          <w:tab w:val="left" w:pos="3855"/>
        </w:tabs>
        <w:spacing w:line="360" w:lineRule="auto"/>
        <w:rPr>
          <w:rFonts w:ascii="宋体" w:hAnsi="宋体" w:cs="宋体"/>
          <w:szCs w:val="21"/>
        </w:rPr>
      </w:pPr>
      <w:r>
        <w:rPr>
          <w:rFonts w:hint="eastAsia" w:ascii="宋体" w:hAnsi="宋体" w:cs="宋体"/>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监理人可以进行察看和查阅施工原始记录的其他地方见合同条款专用部分。</w:t>
      </w:r>
    </w:p>
    <w:p w14:paraId="0F72E372">
      <w:pPr>
        <w:tabs>
          <w:tab w:val="left" w:pos="3855"/>
        </w:tabs>
        <w:spacing w:line="360" w:lineRule="auto"/>
        <w:outlineLvl w:val="1"/>
        <w:rPr>
          <w:rFonts w:ascii="宋体" w:hAnsi="宋体" w:cs="宋体"/>
          <w:szCs w:val="21"/>
        </w:rPr>
      </w:pPr>
      <w:bookmarkStart w:id="1681" w:name="_Toc497456527"/>
      <w:bookmarkStart w:id="1682" w:name="_Toc486580137"/>
      <w:bookmarkStart w:id="1683" w:name="_Toc480486991"/>
      <w:bookmarkStart w:id="1684" w:name="_Toc480486819"/>
      <w:bookmarkStart w:id="1685" w:name="_Toc483668166"/>
      <w:bookmarkStart w:id="1686" w:name="_Toc490222582"/>
      <w:bookmarkStart w:id="1687" w:name="_Toc338944793"/>
      <w:bookmarkStart w:id="1688" w:name="_Toc489279948"/>
      <w:bookmarkStart w:id="1689" w:name="_Toc342296351"/>
      <w:r>
        <w:rPr>
          <w:rFonts w:hint="eastAsia" w:ascii="宋体" w:hAnsi="宋体" w:cs="宋体"/>
          <w:szCs w:val="21"/>
        </w:rPr>
        <w:t>13.5  工程隐蔽部位覆盖前的检查</w:t>
      </w:r>
      <w:bookmarkEnd w:id="1681"/>
      <w:bookmarkEnd w:id="1682"/>
      <w:bookmarkEnd w:id="1683"/>
      <w:bookmarkEnd w:id="1684"/>
      <w:bookmarkEnd w:id="1685"/>
      <w:bookmarkEnd w:id="1686"/>
      <w:bookmarkEnd w:id="1687"/>
      <w:bookmarkEnd w:id="1688"/>
      <w:bookmarkEnd w:id="1689"/>
    </w:p>
    <w:p w14:paraId="458C3A92">
      <w:pPr>
        <w:tabs>
          <w:tab w:val="left" w:pos="3855"/>
        </w:tabs>
        <w:spacing w:line="360" w:lineRule="auto"/>
        <w:outlineLvl w:val="2"/>
        <w:rPr>
          <w:rFonts w:ascii="宋体" w:hAnsi="宋体" w:cs="宋体"/>
          <w:szCs w:val="21"/>
        </w:rPr>
      </w:pPr>
      <w:r>
        <w:rPr>
          <w:rFonts w:hint="eastAsia" w:ascii="宋体" w:hAnsi="宋体" w:cs="宋体"/>
          <w:szCs w:val="21"/>
        </w:rPr>
        <w:t>13.5.1  通知监理人检查</w:t>
      </w:r>
    </w:p>
    <w:p w14:paraId="2FAFC8AF">
      <w:pPr>
        <w:tabs>
          <w:tab w:val="left" w:pos="3855"/>
        </w:tabs>
        <w:spacing w:line="360" w:lineRule="auto"/>
        <w:rPr>
          <w:rFonts w:ascii="宋体" w:hAnsi="宋体" w:cs="宋体"/>
          <w:szCs w:val="21"/>
        </w:rPr>
      </w:pPr>
      <w:r>
        <w:rPr>
          <w:rFonts w:hint="eastAsia" w:ascii="宋体" w:hAnsi="宋体" w:cs="宋体"/>
          <w:szCs w:val="21"/>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14:paraId="05B2ACA8">
      <w:pPr>
        <w:tabs>
          <w:tab w:val="left" w:pos="3855"/>
        </w:tabs>
        <w:spacing w:line="360" w:lineRule="auto"/>
        <w:outlineLvl w:val="2"/>
        <w:rPr>
          <w:rFonts w:ascii="宋体" w:hAnsi="宋体" w:cs="宋体"/>
          <w:szCs w:val="21"/>
        </w:rPr>
      </w:pPr>
      <w:r>
        <w:rPr>
          <w:rFonts w:hint="eastAsia" w:ascii="宋体" w:hAnsi="宋体" w:cs="宋体"/>
          <w:szCs w:val="21"/>
        </w:rPr>
        <w:t>13.5.2  监理人未到场检查</w:t>
      </w:r>
    </w:p>
    <w:p w14:paraId="32965CA8">
      <w:pPr>
        <w:tabs>
          <w:tab w:val="left" w:pos="3855"/>
        </w:tabs>
        <w:spacing w:line="360" w:lineRule="auto"/>
        <w:rPr>
          <w:rFonts w:ascii="宋体" w:hAnsi="宋体" w:cs="宋体"/>
          <w:szCs w:val="21"/>
        </w:rPr>
      </w:pPr>
      <w:r>
        <w:rPr>
          <w:rFonts w:hint="eastAsia" w:ascii="宋体" w:hAnsi="宋体" w:cs="宋体"/>
          <w:szCs w:val="21"/>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4D6D78A4">
      <w:pPr>
        <w:tabs>
          <w:tab w:val="left" w:pos="3855"/>
        </w:tabs>
        <w:spacing w:line="360" w:lineRule="auto"/>
        <w:outlineLvl w:val="2"/>
        <w:rPr>
          <w:rFonts w:ascii="宋体" w:hAnsi="宋体" w:cs="宋体"/>
          <w:szCs w:val="21"/>
        </w:rPr>
      </w:pPr>
      <w:r>
        <w:rPr>
          <w:rFonts w:hint="eastAsia" w:ascii="宋体" w:hAnsi="宋体" w:cs="宋体"/>
          <w:szCs w:val="21"/>
        </w:rPr>
        <w:t>13.5.3  监理人重新检查</w:t>
      </w:r>
    </w:p>
    <w:p w14:paraId="7BB9FCB9">
      <w:pPr>
        <w:tabs>
          <w:tab w:val="left" w:pos="3855"/>
        </w:tabs>
        <w:spacing w:line="360" w:lineRule="auto"/>
        <w:rPr>
          <w:rFonts w:ascii="宋体" w:hAnsi="宋体" w:cs="宋体"/>
          <w:szCs w:val="21"/>
        </w:rPr>
      </w:pPr>
      <w:r>
        <w:rPr>
          <w:rFonts w:hint="eastAsia" w:ascii="宋体" w:hAnsi="宋体" w:cs="宋体"/>
          <w:szCs w:val="21"/>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量不符合合同要求的，由此增加的费用和（或）工期延误由承包人承担。</w:t>
      </w:r>
    </w:p>
    <w:p w14:paraId="29213A8C">
      <w:pPr>
        <w:tabs>
          <w:tab w:val="left" w:pos="3855"/>
        </w:tabs>
        <w:spacing w:line="360" w:lineRule="auto"/>
        <w:outlineLvl w:val="2"/>
        <w:rPr>
          <w:rFonts w:ascii="宋体" w:hAnsi="宋体" w:cs="宋体"/>
          <w:szCs w:val="21"/>
        </w:rPr>
      </w:pPr>
      <w:r>
        <w:rPr>
          <w:rFonts w:hint="eastAsia" w:ascii="宋体" w:hAnsi="宋体" w:cs="宋体"/>
          <w:szCs w:val="21"/>
        </w:rPr>
        <w:t>13.5.4  承包人私自覆盖</w:t>
      </w:r>
    </w:p>
    <w:p w14:paraId="7ACFD1B7">
      <w:pPr>
        <w:tabs>
          <w:tab w:val="left" w:pos="3855"/>
        </w:tabs>
        <w:spacing w:line="360" w:lineRule="auto"/>
        <w:rPr>
          <w:rFonts w:ascii="宋体" w:hAnsi="宋体" w:cs="宋体"/>
          <w:szCs w:val="21"/>
        </w:rPr>
      </w:pPr>
      <w:r>
        <w:rPr>
          <w:rFonts w:hint="eastAsia" w:ascii="宋体" w:hAnsi="宋体" w:cs="宋体"/>
          <w:szCs w:val="21"/>
        </w:rPr>
        <w:t>承包人未通知监理人到场检查，私自将工程隐蔽部位覆盖的，监理人有权指示承包人钻孔探测或揭开检查，由此增加的费用和（或）工期延误由承包人承担。</w:t>
      </w:r>
    </w:p>
    <w:p w14:paraId="11AD56EA">
      <w:pPr>
        <w:tabs>
          <w:tab w:val="left" w:pos="3855"/>
        </w:tabs>
        <w:spacing w:line="360" w:lineRule="auto"/>
        <w:outlineLvl w:val="1"/>
        <w:rPr>
          <w:rFonts w:ascii="宋体" w:hAnsi="宋体" w:cs="宋体"/>
          <w:szCs w:val="21"/>
        </w:rPr>
      </w:pPr>
      <w:bookmarkStart w:id="1690" w:name="_Toc338944794"/>
      <w:bookmarkStart w:id="1691" w:name="_Toc342296352"/>
      <w:bookmarkStart w:id="1692" w:name="_Toc480486820"/>
      <w:bookmarkStart w:id="1693" w:name="_Toc144974670"/>
      <w:bookmarkStart w:id="1694" w:name="_Toc497456528"/>
      <w:bookmarkStart w:id="1695" w:name="_Toc486580138"/>
      <w:bookmarkStart w:id="1696" w:name="_Toc489279949"/>
      <w:bookmarkStart w:id="1697" w:name="_Toc152042479"/>
      <w:bookmarkStart w:id="1698" w:name="_Toc152045701"/>
      <w:bookmarkStart w:id="1699" w:name="_Toc480486992"/>
      <w:bookmarkStart w:id="1700" w:name="_Toc490222583"/>
      <w:bookmarkStart w:id="1701" w:name="_Toc483668167"/>
      <w:bookmarkStart w:id="1702" w:name="_Toc179632719"/>
      <w:r>
        <w:rPr>
          <w:rFonts w:hint="eastAsia" w:ascii="宋体" w:hAnsi="宋体" w:cs="宋体"/>
          <w:szCs w:val="21"/>
        </w:rPr>
        <w:t>13.6  清除不合格工程</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14:paraId="41EC052E">
      <w:pPr>
        <w:tabs>
          <w:tab w:val="left" w:pos="3855"/>
        </w:tabs>
        <w:spacing w:line="360" w:lineRule="auto"/>
        <w:outlineLvl w:val="2"/>
        <w:rPr>
          <w:rFonts w:ascii="宋体" w:hAnsi="宋体" w:cs="宋体"/>
          <w:szCs w:val="21"/>
        </w:rPr>
      </w:pPr>
      <w:r>
        <w:rPr>
          <w:rFonts w:hint="eastAsia" w:ascii="宋体" w:hAnsi="宋体" w:cs="宋体"/>
          <w:szCs w:val="21"/>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168F9C11">
      <w:pPr>
        <w:tabs>
          <w:tab w:val="left" w:pos="3855"/>
        </w:tabs>
        <w:spacing w:line="360" w:lineRule="auto"/>
        <w:outlineLvl w:val="2"/>
        <w:rPr>
          <w:rFonts w:ascii="宋体" w:hAnsi="宋体" w:cs="宋体"/>
          <w:szCs w:val="21"/>
        </w:rPr>
      </w:pPr>
      <w:r>
        <w:rPr>
          <w:rFonts w:hint="eastAsia" w:ascii="宋体" w:hAnsi="宋体" w:cs="宋体"/>
          <w:szCs w:val="21"/>
        </w:rPr>
        <w:t>13.6.2  由于发包人提供的材料或工程设备不合格造成的工程不合格，需要承包人采取措施补救的，发包人应承担由此增加的费用和（或）工期延误。</w:t>
      </w:r>
    </w:p>
    <w:p w14:paraId="1E62F04D">
      <w:pPr>
        <w:tabs>
          <w:tab w:val="left" w:pos="3855"/>
        </w:tabs>
        <w:spacing w:line="360" w:lineRule="auto"/>
        <w:outlineLvl w:val="1"/>
        <w:rPr>
          <w:rFonts w:ascii="宋体" w:hAnsi="宋体" w:cs="宋体"/>
          <w:szCs w:val="21"/>
        </w:rPr>
      </w:pPr>
      <w:bookmarkStart w:id="1703" w:name="_Toc497456529"/>
      <w:bookmarkStart w:id="1704" w:name="_Toc483668168"/>
      <w:bookmarkStart w:id="1705" w:name="_Toc480486821"/>
      <w:bookmarkStart w:id="1706" w:name="_Toc241459713"/>
      <w:bookmarkStart w:id="1707" w:name="_Toc342296472"/>
      <w:bookmarkStart w:id="1708" w:name="_Toc490222584"/>
      <w:bookmarkStart w:id="1709" w:name="_Toc489279950"/>
      <w:bookmarkStart w:id="1710" w:name="_Toc480486993"/>
      <w:bookmarkStart w:id="1711" w:name="_Toc486580139"/>
      <w:bookmarkStart w:id="1712" w:name="_Toc476479360"/>
      <w:r>
        <w:rPr>
          <w:rFonts w:hint="eastAsia" w:ascii="宋体" w:hAnsi="宋体" w:cs="宋体"/>
          <w:szCs w:val="21"/>
        </w:rPr>
        <w:t>13.7  质量争议</w:t>
      </w:r>
      <w:bookmarkEnd w:id="1703"/>
      <w:bookmarkEnd w:id="1704"/>
      <w:bookmarkEnd w:id="1705"/>
      <w:bookmarkEnd w:id="1706"/>
      <w:bookmarkEnd w:id="1707"/>
      <w:bookmarkEnd w:id="1708"/>
      <w:bookmarkEnd w:id="1709"/>
      <w:bookmarkEnd w:id="1710"/>
      <w:bookmarkEnd w:id="1711"/>
      <w:bookmarkEnd w:id="1712"/>
    </w:p>
    <w:p w14:paraId="54A96F52">
      <w:pPr>
        <w:tabs>
          <w:tab w:val="left" w:pos="3855"/>
        </w:tabs>
        <w:spacing w:line="360" w:lineRule="auto"/>
        <w:rPr>
          <w:rFonts w:ascii="宋体" w:hAnsi="宋体" w:cs="宋体"/>
          <w:szCs w:val="21"/>
        </w:rPr>
      </w:pPr>
      <w:r>
        <w:rPr>
          <w:rFonts w:hint="eastAsia" w:ascii="宋体" w:hAnsi="宋体" w:cs="宋体"/>
          <w:szCs w:val="21"/>
        </w:rPr>
        <w:t>发包人和承包人对工程质量有争议的，除可按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03208338">
      <w:pPr>
        <w:tabs>
          <w:tab w:val="left" w:pos="3855"/>
        </w:tabs>
        <w:spacing w:line="360" w:lineRule="auto"/>
        <w:outlineLvl w:val="0"/>
        <w:rPr>
          <w:rFonts w:ascii="宋体" w:hAnsi="宋体" w:cs="宋体"/>
          <w:szCs w:val="21"/>
        </w:rPr>
      </w:pPr>
      <w:bookmarkStart w:id="1713" w:name="_Toc179632720"/>
      <w:bookmarkStart w:id="1714" w:name="_Toc144974671"/>
      <w:bookmarkStart w:id="1715" w:name="_Toc338944795"/>
      <w:bookmarkStart w:id="1716" w:name="_Toc489279951"/>
      <w:bookmarkStart w:id="1717" w:name="_Toc480486994"/>
      <w:bookmarkStart w:id="1718" w:name="_Toc152042480"/>
      <w:bookmarkStart w:id="1719" w:name="_Toc490222585"/>
      <w:bookmarkStart w:id="1720" w:name="_Toc480486822"/>
      <w:bookmarkStart w:id="1721" w:name="_Toc152045702"/>
      <w:bookmarkStart w:id="1722" w:name="_Toc486580140"/>
      <w:bookmarkStart w:id="1723" w:name="_Toc497456530"/>
      <w:bookmarkStart w:id="1724" w:name="_Toc483668169"/>
      <w:bookmarkStart w:id="1725" w:name="_Toc342296353"/>
      <w:r>
        <w:rPr>
          <w:rFonts w:hint="eastAsia" w:ascii="宋体" w:hAnsi="宋体" w:cs="宋体"/>
          <w:szCs w:val="21"/>
        </w:rPr>
        <w:t>14.试验和检验</w:t>
      </w:r>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14:paraId="1156BA70">
      <w:pPr>
        <w:tabs>
          <w:tab w:val="left" w:pos="3855"/>
        </w:tabs>
        <w:spacing w:line="360" w:lineRule="auto"/>
        <w:outlineLvl w:val="1"/>
        <w:rPr>
          <w:rFonts w:ascii="宋体" w:hAnsi="宋体" w:cs="宋体"/>
          <w:szCs w:val="21"/>
        </w:rPr>
      </w:pPr>
      <w:bookmarkStart w:id="1726" w:name="_Toc489279952"/>
      <w:bookmarkStart w:id="1727" w:name="_Toc480486823"/>
      <w:bookmarkStart w:id="1728" w:name="_Toc179632721"/>
      <w:bookmarkStart w:id="1729" w:name="_Toc152042481"/>
      <w:bookmarkStart w:id="1730" w:name="_Toc490222586"/>
      <w:bookmarkStart w:id="1731" w:name="_Toc486580141"/>
      <w:bookmarkStart w:id="1732" w:name="_Toc480486995"/>
      <w:bookmarkStart w:id="1733" w:name="_Toc342296354"/>
      <w:bookmarkStart w:id="1734" w:name="_Toc144974672"/>
      <w:bookmarkStart w:id="1735" w:name="_Toc152045703"/>
      <w:bookmarkStart w:id="1736" w:name="_Toc338944796"/>
      <w:bookmarkStart w:id="1737" w:name="_Toc483668170"/>
      <w:bookmarkStart w:id="1738" w:name="_Toc497456531"/>
      <w:r>
        <w:rPr>
          <w:rFonts w:hint="eastAsia" w:ascii="宋体" w:hAnsi="宋体" w:cs="宋体"/>
          <w:szCs w:val="21"/>
        </w:rPr>
        <w:t>14.1  材料、工程设备和工程的试验和检验</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473B0BEB">
      <w:pPr>
        <w:tabs>
          <w:tab w:val="left" w:pos="3855"/>
        </w:tabs>
        <w:spacing w:line="360" w:lineRule="auto"/>
        <w:outlineLvl w:val="2"/>
        <w:rPr>
          <w:rFonts w:ascii="宋体" w:hAnsi="宋体" w:cs="宋体"/>
          <w:szCs w:val="21"/>
        </w:rPr>
      </w:pPr>
      <w:r>
        <w:rPr>
          <w:rFonts w:hint="eastAsia" w:ascii="宋体" w:hAnsi="宋体" w:cs="宋体"/>
          <w:szCs w:val="21"/>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F450DD0">
      <w:pPr>
        <w:tabs>
          <w:tab w:val="left" w:pos="3855"/>
        </w:tabs>
        <w:spacing w:line="360" w:lineRule="auto"/>
        <w:outlineLvl w:val="2"/>
        <w:rPr>
          <w:rFonts w:ascii="宋体" w:hAnsi="宋体" w:cs="宋体"/>
          <w:szCs w:val="21"/>
        </w:rPr>
      </w:pPr>
      <w:r>
        <w:rPr>
          <w:rFonts w:hint="eastAsia" w:ascii="宋体" w:hAnsi="宋体" w:cs="宋体"/>
          <w:szCs w:val="21"/>
        </w:rPr>
        <w:t>14.1.2  监理人未按合同约定派员参加试验和检验的，除监理人另有指示外，承包人可自行试验和检验，并应立即将试验和检验结果报送监理人，监理人应签字确认。</w:t>
      </w:r>
    </w:p>
    <w:p w14:paraId="572FBD6D">
      <w:pPr>
        <w:tabs>
          <w:tab w:val="left" w:pos="3855"/>
        </w:tabs>
        <w:spacing w:line="360" w:lineRule="auto"/>
        <w:outlineLvl w:val="2"/>
        <w:rPr>
          <w:rFonts w:ascii="宋体" w:hAnsi="宋体" w:cs="宋体"/>
          <w:szCs w:val="21"/>
        </w:rPr>
      </w:pPr>
      <w:r>
        <w:rPr>
          <w:rFonts w:hint="eastAsia" w:ascii="宋体" w:hAnsi="宋体" w:cs="宋体"/>
          <w:szCs w:val="21"/>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w:t>
      </w:r>
    </w:p>
    <w:p w14:paraId="5D82E8C5">
      <w:pPr>
        <w:tabs>
          <w:tab w:val="left" w:pos="3855"/>
        </w:tabs>
        <w:spacing w:line="360" w:lineRule="auto"/>
        <w:outlineLvl w:val="1"/>
        <w:rPr>
          <w:rFonts w:ascii="宋体" w:hAnsi="宋体" w:cs="宋体"/>
          <w:szCs w:val="21"/>
        </w:rPr>
      </w:pPr>
      <w:bookmarkStart w:id="1739" w:name="_Toc152042482"/>
      <w:bookmarkStart w:id="1740" w:name="_Toc490222587"/>
      <w:bookmarkStart w:id="1741" w:name="_Toc342296355"/>
      <w:bookmarkStart w:id="1742" w:name="_Toc497456532"/>
      <w:bookmarkStart w:id="1743" w:name="_Toc489279953"/>
      <w:bookmarkStart w:id="1744" w:name="_Toc483668171"/>
      <w:bookmarkStart w:id="1745" w:name="_Toc152045704"/>
      <w:bookmarkStart w:id="1746" w:name="_Toc480486824"/>
      <w:bookmarkStart w:id="1747" w:name="_Toc338944797"/>
      <w:bookmarkStart w:id="1748" w:name="_Toc179632722"/>
      <w:bookmarkStart w:id="1749" w:name="_Toc480486996"/>
      <w:bookmarkStart w:id="1750" w:name="_Toc144974673"/>
      <w:bookmarkStart w:id="1751" w:name="_Toc486580142"/>
      <w:r>
        <w:rPr>
          <w:rFonts w:hint="eastAsia" w:ascii="宋体" w:hAnsi="宋体" w:cs="宋体"/>
          <w:szCs w:val="21"/>
        </w:rPr>
        <w:t>14.2  现场材料试验</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14:paraId="0228B62C">
      <w:pPr>
        <w:tabs>
          <w:tab w:val="left" w:pos="3855"/>
        </w:tabs>
        <w:spacing w:line="360" w:lineRule="auto"/>
        <w:outlineLvl w:val="2"/>
        <w:rPr>
          <w:rFonts w:ascii="宋体" w:hAnsi="宋体" w:cs="宋体"/>
          <w:szCs w:val="21"/>
        </w:rPr>
      </w:pPr>
      <w:r>
        <w:rPr>
          <w:rFonts w:hint="eastAsia" w:ascii="宋体" w:hAnsi="宋体" w:cs="宋体"/>
          <w:szCs w:val="21"/>
        </w:rPr>
        <w:t>14.2.1  承包人根据合同约定或监理人指示进行的现场材料试验，应由承包人提供试验场所、试验人员、试验设备器材以及其他必要的试验条件。</w:t>
      </w:r>
    </w:p>
    <w:p w14:paraId="6EE158F9">
      <w:pPr>
        <w:tabs>
          <w:tab w:val="left" w:pos="3855"/>
        </w:tabs>
        <w:spacing w:line="360" w:lineRule="auto"/>
        <w:outlineLvl w:val="2"/>
        <w:rPr>
          <w:rFonts w:ascii="宋体" w:hAnsi="宋体" w:cs="宋体"/>
          <w:szCs w:val="21"/>
        </w:rPr>
      </w:pPr>
      <w:r>
        <w:rPr>
          <w:rFonts w:hint="eastAsia" w:ascii="宋体" w:hAnsi="宋体" w:cs="宋体"/>
          <w:szCs w:val="21"/>
        </w:rPr>
        <w:t>14.2.2  监理人在必要时可以使用承包人的试验场所、试验设备器材以及其他试验条件，进行以工程质量检查为目的的复核性材料试验，承包人应予以协助。</w:t>
      </w:r>
    </w:p>
    <w:p w14:paraId="561F41FE">
      <w:pPr>
        <w:tabs>
          <w:tab w:val="left" w:pos="3855"/>
        </w:tabs>
        <w:spacing w:line="360" w:lineRule="auto"/>
        <w:outlineLvl w:val="1"/>
        <w:rPr>
          <w:rFonts w:ascii="宋体" w:hAnsi="宋体" w:cs="宋体"/>
          <w:szCs w:val="21"/>
        </w:rPr>
      </w:pPr>
      <w:bookmarkStart w:id="1752" w:name="_Toc152042483"/>
      <w:bookmarkStart w:id="1753" w:name="_Toc486580143"/>
      <w:bookmarkStart w:id="1754" w:name="_Toc342296356"/>
      <w:bookmarkStart w:id="1755" w:name="_Toc480486825"/>
      <w:bookmarkStart w:id="1756" w:name="_Toc144974674"/>
      <w:bookmarkStart w:id="1757" w:name="_Toc179632723"/>
      <w:bookmarkStart w:id="1758" w:name="_Toc480486997"/>
      <w:bookmarkStart w:id="1759" w:name="_Toc497456533"/>
      <w:bookmarkStart w:id="1760" w:name="_Toc338944798"/>
      <w:bookmarkStart w:id="1761" w:name="_Toc489279954"/>
      <w:bookmarkStart w:id="1762" w:name="_Toc490222588"/>
      <w:bookmarkStart w:id="1763" w:name="_Toc483668172"/>
      <w:bookmarkStart w:id="1764" w:name="_Toc152045705"/>
      <w:r>
        <w:rPr>
          <w:rFonts w:hint="eastAsia" w:ascii="宋体" w:hAnsi="宋体" w:cs="宋体"/>
          <w:szCs w:val="21"/>
        </w:rPr>
        <w:t>14.3  现场工艺试验</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08338FA8">
      <w:pPr>
        <w:tabs>
          <w:tab w:val="left" w:pos="3855"/>
        </w:tabs>
        <w:spacing w:line="360" w:lineRule="auto"/>
        <w:rPr>
          <w:rFonts w:ascii="宋体" w:hAnsi="宋体" w:cs="宋体"/>
          <w:szCs w:val="21"/>
        </w:rPr>
      </w:pPr>
      <w:r>
        <w:rPr>
          <w:rFonts w:hint="eastAsia" w:ascii="宋体" w:hAnsi="宋体" w:cs="宋体"/>
          <w:szCs w:val="21"/>
        </w:rPr>
        <w:t>承包人应按合同约定或监理人指示进行现场工艺试验。对大型的现场工艺试验，监理人认为必要时，应由承包人根据监理人提出的工艺试验要求，编制工艺试验措施计划，报送监理人审批。</w:t>
      </w:r>
    </w:p>
    <w:p w14:paraId="3D1AE677">
      <w:pPr>
        <w:tabs>
          <w:tab w:val="left" w:pos="3855"/>
        </w:tabs>
        <w:spacing w:line="360" w:lineRule="auto"/>
        <w:outlineLvl w:val="0"/>
        <w:rPr>
          <w:rFonts w:ascii="宋体" w:hAnsi="宋体" w:cs="宋体"/>
          <w:szCs w:val="21"/>
        </w:rPr>
      </w:pPr>
      <w:bookmarkStart w:id="1765" w:name="_Toc486580144"/>
      <w:bookmarkStart w:id="1766" w:name="_Toc483668173"/>
      <w:bookmarkStart w:id="1767" w:name="_Toc342296357"/>
      <w:bookmarkStart w:id="1768" w:name="_Toc338944799"/>
      <w:bookmarkStart w:id="1769" w:name="_Toc480486826"/>
      <w:bookmarkStart w:id="1770" w:name="_Toc497456534"/>
      <w:bookmarkStart w:id="1771" w:name="_Toc489279955"/>
      <w:bookmarkStart w:id="1772" w:name="_Toc490222589"/>
      <w:bookmarkStart w:id="1773" w:name="_Toc480486998"/>
      <w:r>
        <w:rPr>
          <w:rFonts w:hint="eastAsia" w:ascii="宋体" w:hAnsi="宋体" w:cs="宋体"/>
          <w:szCs w:val="21"/>
        </w:rPr>
        <w:t>15.变更</w:t>
      </w:r>
      <w:bookmarkEnd w:id="1765"/>
      <w:bookmarkEnd w:id="1766"/>
      <w:bookmarkEnd w:id="1767"/>
      <w:bookmarkEnd w:id="1768"/>
      <w:bookmarkEnd w:id="1769"/>
      <w:bookmarkEnd w:id="1770"/>
      <w:bookmarkEnd w:id="1771"/>
      <w:bookmarkEnd w:id="1772"/>
      <w:bookmarkEnd w:id="1773"/>
    </w:p>
    <w:p w14:paraId="4C08332E">
      <w:pPr>
        <w:tabs>
          <w:tab w:val="left" w:pos="3855"/>
        </w:tabs>
        <w:spacing w:line="360" w:lineRule="auto"/>
        <w:outlineLvl w:val="1"/>
        <w:rPr>
          <w:rFonts w:ascii="宋体" w:hAnsi="宋体" w:cs="宋体"/>
          <w:szCs w:val="21"/>
        </w:rPr>
      </w:pPr>
      <w:bookmarkStart w:id="1774" w:name="_Toc483668174"/>
      <w:bookmarkStart w:id="1775" w:name="_Toc486580145"/>
      <w:bookmarkStart w:id="1776" w:name="_Toc480486827"/>
      <w:bookmarkStart w:id="1777" w:name="_Toc489279956"/>
      <w:bookmarkStart w:id="1778" w:name="_Toc338944800"/>
      <w:bookmarkStart w:id="1779" w:name="_Toc480486999"/>
      <w:bookmarkStart w:id="1780" w:name="_Toc497456535"/>
      <w:bookmarkStart w:id="1781" w:name="_Toc342296358"/>
      <w:bookmarkStart w:id="1782" w:name="_Toc490222590"/>
      <w:r>
        <w:rPr>
          <w:rFonts w:hint="eastAsia" w:ascii="宋体" w:hAnsi="宋体" w:cs="宋体"/>
          <w:szCs w:val="21"/>
        </w:rPr>
        <w:t>15.1  变更的范围和内容</w:t>
      </w:r>
      <w:bookmarkEnd w:id="1774"/>
      <w:bookmarkEnd w:id="1775"/>
      <w:bookmarkEnd w:id="1776"/>
      <w:bookmarkEnd w:id="1777"/>
      <w:bookmarkEnd w:id="1778"/>
      <w:bookmarkEnd w:id="1779"/>
      <w:bookmarkEnd w:id="1780"/>
      <w:bookmarkEnd w:id="1781"/>
      <w:bookmarkEnd w:id="1782"/>
    </w:p>
    <w:p w14:paraId="71A03E47">
      <w:pPr>
        <w:tabs>
          <w:tab w:val="left" w:pos="3855"/>
        </w:tabs>
        <w:spacing w:line="360" w:lineRule="auto"/>
        <w:outlineLvl w:val="2"/>
        <w:rPr>
          <w:rFonts w:ascii="宋体" w:hAnsi="宋体" w:cs="宋体"/>
          <w:szCs w:val="21"/>
        </w:rPr>
      </w:pPr>
      <w:r>
        <w:rPr>
          <w:rFonts w:hint="eastAsia" w:ascii="宋体" w:hAnsi="宋体" w:cs="宋体"/>
          <w:szCs w:val="21"/>
        </w:rPr>
        <w:t>15.1.1  在履行合同中发生以下情形之一，应按照本条规定进行变更。</w:t>
      </w:r>
    </w:p>
    <w:p w14:paraId="2B823071">
      <w:pPr>
        <w:tabs>
          <w:tab w:val="left" w:pos="3855"/>
        </w:tabs>
        <w:spacing w:line="360" w:lineRule="auto"/>
        <w:rPr>
          <w:rFonts w:ascii="宋体" w:hAnsi="宋体" w:cs="宋体"/>
          <w:szCs w:val="21"/>
        </w:rPr>
      </w:pPr>
      <w:r>
        <w:rPr>
          <w:rFonts w:hint="eastAsia" w:ascii="宋体" w:hAnsi="宋体" w:cs="宋体"/>
          <w:szCs w:val="21"/>
        </w:rPr>
        <w:t>（1）取消合同中任何一项工作，但被取消的工作不能转由发包人或其他人实施；</w:t>
      </w:r>
    </w:p>
    <w:p w14:paraId="3C892243">
      <w:pPr>
        <w:tabs>
          <w:tab w:val="left" w:pos="3855"/>
        </w:tabs>
        <w:spacing w:line="360" w:lineRule="auto"/>
        <w:rPr>
          <w:rFonts w:ascii="宋体" w:hAnsi="宋体" w:cs="宋体"/>
          <w:szCs w:val="21"/>
        </w:rPr>
      </w:pPr>
      <w:r>
        <w:rPr>
          <w:rFonts w:hint="eastAsia" w:ascii="宋体" w:hAnsi="宋体" w:cs="宋体"/>
          <w:szCs w:val="21"/>
        </w:rPr>
        <w:t>（2）改变合同中任何一项工作的质量或其他特性；</w:t>
      </w:r>
    </w:p>
    <w:p w14:paraId="73F43B8E">
      <w:pPr>
        <w:tabs>
          <w:tab w:val="left" w:pos="3855"/>
        </w:tabs>
        <w:spacing w:line="360" w:lineRule="auto"/>
        <w:rPr>
          <w:rFonts w:ascii="宋体" w:hAnsi="宋体" w:cs="宋体"/>
          <w:szCs w:val="21"/>
        </w:rPr>
      </w:pPr>
      <w:r>
        <w:rPr>
          <w:rFonts w:hint="eastAsia" w:ascii="宋体" w:hAnsi="宋体" w:cs="宋体"/>
          <w:szCs w:val="21"/>
        </w:rPr>
        <w:t>（3）改变合同工程的基线、标高、位置或尺寸；</w:t>
      </w:r>
    </w:p>
    <w:p w14:paraId="7B9DA0E8">
      <w:pPr>
        <w:tabs>
          <w:tab w:val="left" w:pos="3855"/>
        </w:tabs>
        <w:spacing w:line="360" w:lineRule="auto"/>
        <w:rPr>
          <w:rFonts w:ascii="宋体" w:hAnsi="宋体" w:cs="宋体"/>
          <w:szCs w:val="21"/>
        </w:rPr>
      </w:pPr>
      <w:r>
        <w:rPr>
          <w:rFonts w:hint="eastAsia" w:ascii="宋体" w:hAnsi="宋体" w:cs="宋体"/>
          <w:szCs w:val="21"/>
        </w:rPr>
        <w:t>（4）改变合同中任何一项工作的施工时间或改变已批准的施工工艺或顺序；</w:t>
      </w:r>
    </w:p>
    <w:p w14:paraId="6932DAE4">
      <w:pPr>
        <w:tabs>
          <w:tab w:val="left" w:pos="3855"/>
        </w:tabs>
        <w:spacing w:line="360" w:lineRule="auto"/>
        <w:rPr>
          <w:rFonts w:ascii="宋体" w:hAnsi="宋体" w:cs="宋体"/>
          <w:szCs w:val="21"/>
        </w:rPr>
      </w:pPr>
      <w:r>
        <w:rPr>
          <w:rFonts w:hint="eastAsia" w:ascii="宋体" w:hAnsi="宋体" w:cs="宋体"/>
          <w:szCs w:val="21"/>
        </w:rPr>
        <w:t>（5）为完成工程需要追加的额外工作；</w:t>
      </w:r>
    </w:p>
    <w:p w14:paraId="5F044B59">
      <w:pPr>
        <w:tabs>
          <w:tab w:val="left" w:pos="3855"/>
        </w:tabs>
        <w:spacing w:line="360" w:lineRule="auto"/>
        <w:rPr>
          <w:rFonts w:ascii="宋体" w:hAnsi="宋体" w:cs="宋体"/>
          <w:szCs w:val="21"/>
        </w:rPr>
      </w:pPr>
      <w:r>
        <w:rPr>
          <w:rFonts w:hint="eastAsia" w:ascii="宋体" w:hAnsi="宋体" w:cs="宋体"/>
          <w:szCs w:val="21"/>
        </w:rPr>
        <w:t>（6）变更的其他情形见合同条款专用部分。</w:t>
      </w:r>
    </w:p>
    <w:p w14:paraId="42CB6C19">
      <w:pPr>
        <w:tabs>
          <w:tab w:val="left" w:pos="3855"/>
        </w:tabs>
        <w:spacing w:line="360" w:lineRule="auto"/>
        <w:outlineLvl w:val="2"/>
        <w:rPr>
          <w:rFonts w:ascii="宋体" w:hAnsi="宋体" w:cs="宋体"/>
          <w:szCs w:val="21"/>
        </w:rPr>
      </w:pPr>
      <w:r>
        <w:rPr>
          <w:rFonts w:hint="eastAsia" w:ascii="宋体" w:hAnsi="宋体" w:cs="宋体"/>
          <w:szCs w:val="21"/>
        </w:rPr>
        <w:t>15.1.2  发包人违背第15.1（1）目的约定，将被取消的合同中的工作转由发包人或其他人实施的，承包人可向监理人发出通知，要求发包人采取有效措施纠正违约行为。</w:t>
      </w:r>
    </w:p>
    <w:p w14:paraId="10FEE1F6">
      <w:pPr>
        <w:tabs>
          <w:tab w:val="left" w:pos="3855"/>
        </w:tabs>
        <w:spacing w:line="360" w:lineRule="auto"/>
        <w:outlineLvl w:val="1"/>
        <w:rPr>
          <w:rFonts w:ascii="宋体" w:hAnsi="宋体" w:cs="宋体"/>
          <w:szCs w:val="21"/>
        </w:rPr>
      </w:pPr>
      <w:bookmarkStart w:id="1783" w:name="_Toc342296359"/>
      <w:bookmarkStart w:id="1784" w:name="_Toc483668175"/>
      <w:bookmarkStart w:id="1785" w:name="_Toc179632726"/>
      <w:bookmarkStart w:id="1786" w:name="_Toc486580146"/>
      <w:bookmarkStart w:id="1787" w:name="_Toc480486828"/>
      <w:bookmarkStart w:id="1788" w:name="_Toc497456536"/>
      <w:bookmarkStart w:id="1789" w:name="_Toc144974677"/>
      <w:bookmarkStart w:id="1790" w:name="_Toc489279957"/>
      <w:bookmarkStart w:id="1791" w:name="_Toc152042486"/>
      <w:bookmarkStart w:id="1792" w:name="_Toc490222591"/>
      <w:bookmarkStart w:id="1793" w:name="_Toc480487000"/>
      <w:bookmarkStart w:id="1794" w:name="_Toc338944801"/>
      <w:bookmarkStart w:id="1795" w:name="_Toc152045708"/>
      <w:r>
        <w:rPr>
          <w:rFonts w:hint="eastAsia" w:ascii="宋体" w:hAnsi="宋体" w:cs="宋体"/>
          <w:szCs w:val="21"/>
        </w:rPr>
        <w:t>15.2  变更权</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14:paraId="1D2F5CE8">
      <w:pPr>
        <w:tabs>
          <w:tab w:val="left" w:pos="3855"/>
        </w:tabs>
        <w:spacing w:line="360" w:lineRule="auto"/>
        <w:rPr>
          <w:rFonts w:ascii="宋体" w:hAnsi="宋体" w:cs="宋体"/>
          <w:szCs w:val="21"/>
        </w:rPr>
      </w:pPr>
      <w:r>
        <w:rPr>
          <w:rFonts w:hint="eastAsia" w:ascii="宋体" w:hAnsi="宋体" w:cs="宋体"/>
          <w:szCs w:val="21"/>
        </w:rPr>
        <w:t>在履行合同过程中，经发包人同意，监理人可按第15.3款约定的变更程序向承包人作出变更指示，承包人应遵照执行。没有监理人的变更指示，承包人不得擅自变更。</w:t>
      </w:r>
    </w:p>
    <w:p w14:paraId="3D0BEF26">
      <w:pPr>
        <w:tabs>
          <w:tab w:val="left" w:pos="3855"/>
        </w:tabs>
        <w:spacing w:line="360" w:lineRule="auto"/>
        <w:outlineLvl w:val="1"/>
        <w:rPr>
          <w:rFonts w:ascii="宋体" w:hAnsi="宋体" w:cs="宋体"/>
          <w:szCs w:val="21"/>
        </w:rPr>
      </w:pPr>
      <w:bookmarkStart w:id="1796" w:name="_Toc480487001"/>
      <w:bookmarkStart w:id="1797" w:name="_Toc486580147"/>
      <w:bookmarkStart w:id="1798" w:name="_Toc483668176"/>
      <w:bookmarkStart w:id="1799" w:name="_Toc490222592"/>
      <w:bookmarkStart w:id="1800" w:name="_Toc480486829"/>
      <w:bookmarkStart w:id="1801" w:name="_Toc342296360"/>
      <w:bookmarkStart w:id="1802" w:name="_Toc497456537"/>
      <w:bookmarkStart w:id="1803" w:name="_Toc489279958"/>
      <w:bookmarkStart w:id="1804" w:name="_Toc338944802"/>
      <w:r>
        <w:rPr>
          <w:rFonts w:hint="eastAsia" w:ascii="宋体" w:hAnsi="宋体" w:cs="宋体"/>
          <w:szCs w:val="21"/>
        </w:rPr>
        <w:t>15.3  变更程序</w:t>
      </w:r>
      <w:bookmarkEnd w:id="1796"/>
      <w:bookmarkEnd w:id="1797"/>
      <w:bookmarkEnd w:id="1798"/>
      <w:bookmarkEnd w:id="1799"/>
      <w:bookmarkEnd w:id="1800"/>
      <w:bookmarkEnd w:id="1801"/>
      <w:bookmarkEnd w:id="1802"/>
      <w:bookmarkEnd w:id="1803"/>
      <w:bookmarkEnd w:id="1804"/>
    </w:p>
    <w:p w14:paraId="0DE2477F">
      <w:pPr>
        <w:tabs>
          <w:tab w:val="left" w:pos="3855"/>
        </w:tabs>
        <w:spacing w:line="360" w:lineRule="auto"/>
        <w:outlineLvl w:val="2"/>
        <w:rPr>
          <w:rFonts w:ascii="宋体" w:hAnsi="宋体" w:cs="宋体"/>
          <w:szCs w:val="21"/>
        </w:rPr>
      </w:pPr>
      <w:r>
        <w:rPr>
          <w:rFonts w:hint="eastAsia" w:ascii="宋体" w:hAnsi="宋体" w:cs="宋体"/>
          <w:szCs w:val="21"/>
        </w:rPr>
        <w:t>15.3.1  变更的提出</w:t>
      </w:r>
    </w:p>
    <w:p w14:paraId="3CDD7993">
      <w:pPr>
        <w:tabs>
          <w:tab w:val="left" w:pos="3855"/>
        </w:tabs>
        <w:spacing w:line="360" w:lineRule="auto"/>
        <w:rPr>
          <w:rFonts w:ascii="宋体" w:hAnsi="宋体" w:cs="宋体"/>
          <w:szCs w:val="21"/>
        </w:rPr>
      </w:pPr>
      <w:r>
        <w:rPr>
          <w:rFonts w:hint="eastAsia" w:ascii="宋体" w:hAnsi="宋体" w:cs="宋体"/>
          <w:szCs w:val="21"/>
        </w:rPr>
        <w:t xml:space="preserve">（1）在合同履行过程中，可能发生第15.1.1项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178DDD36">
      <w:pPr>
        <w:tabs>
          <w:tab w:val="left" w:pos="3855"/>
        </w:tabs>
        <w:spacing w:line="360" w:lineRule="auto"/>
        <w:rPr>
          <w:rFonts w:ascii="宋体" w:hAnsi="宋体" w:cs="宋体"/>
          <w:szCs w:val="21"/>
        </w:rPr>
      </w:pPr>
      <w:r>
        <w:rPr>
          <w:rFonts w:hint="eastAsia" w:ascii="宋体" w:hAnsi="宋体" w:cs="宋体"/>
          <w:szCs w:val="21"/>
        </w:rPr>
        <w:t>（2）在合同履行过程中，发生第15.1.1项约定情形的，监理人应按照第15.3.3项约定向承包人发出变更指示。</w:t>
      </w:r>
    </w:p>
    <w:p w14:paraId="386C2E2B">
      <w:pPr>
        <w:tabs>
          <w:tab w:val="left" w:pos="3855"/>
        </w:tabs>
        <w:spacing w:line="360" w:lineRule="auto"/>
        <w:rPr>
          <w:rFonts w:ascii="宋体" w:hAnsi="宋体" w:cs="宋体"/>
          <w:szCs w:val="21"/>
        </w:rPr>
      </w:pPr>
      <w:r>
        <w:rPr>
          <w:rFonts w:hint="eastAsia" w:ascii="宋体" w:hAnsi="宋体" w:cs="宋体"/>
          <w:szCs w:val="21"/>
        </w:rPr>
        <w:t>（3）承包人收到监理人按合同约定发出的图纸和文件，经检查认为其中存在第15.1.1项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29340163">
      <w:pPr>
        <w:tabs>
          <w:tab w:val="left" w:pos="3855"/>
        </w:tabs>
        <w:spacing w:line="360" w:lineRule="auto"/>
        <w:rPr>
          <w:rFonts w:ascii="宋体" w:hAnsi="宋体" w:cs="宋体"/>
          <w:szCs w:val="21"/>
        </w:rPr>
      </w:pPr>
      <w:r>
        <w:rPr>
          <w:rFonts w:hint="eastAsia" w:ascii="宋体" w:hAnsi="宋体" w:cs="宋体"/>
          <w:szCs w:val="21"/>
        </w:rPr>
        <w:t>（4）若承包人收到监理人的变更意向书后认为难以实施此项变更，应立即通知监理人，说明原因并附详细依据。监理人与承包人和发包人协商后确定撤销、改变或不改变原变更意向书。</w:t>
      </w:r>
    </w:p>
    <w:p w14:paraId="4B25FDAB">
      <w:pPr>
        <w:tabs>
          <w:tab w:val="left" w:pos="3855"/>
        </w:tabs>
        <w:spacing w:line="360" w:lineRule="auto"/>
        <w:outlineLvl w:val="2"/>
        <w:rPr>
          <w:rFonts w:ascii="宋体" w:hAnsi="宋体" w:cs="宋体"/>
          <w:szCs w:val="21"/>
        </w:rPr>
      </w:pPr>
      <w:r>
        <w:rPr>
          <w:rFonts w:hint="eastAsia" w:ascii="宋体" w:hAnsi="宋体" w:cs="宋体"/>
          <w:szCs w:val="21"/>
        </w:rPr>
        <w:t>15.3.2  变更估价</w:t>
      </w:r>
    </w:p>
    <w:p w14:paraId="0B8166A3">
      <w:pPr>
        <w:tabs>
          <w:tab w:val="left" w:pos="3855"/>
        </w:tabs>
        <w:spacing w:line="360" w:lineRule="auto"/>
        <w:rPr>
          <w:rFonts w:ascii="宋体" w:hAnsi="宋体" w:cs="宋体"/>
          <w:szCs w:val="21"/>
        </w:rPr>
      </w:pPr>
      <w:r>
        <w:rPr>
          <w:rFonts w:hint="eastAsia" w:ascii="宋体" w:hAnsi="宋体" w:cs="宋体"/>
          <w:szCs w:val="21"/>
        </w:rPr>
        <w:t>（1）除合同条款专用部分对期限另有约定外，承包人应在收到变更指示或变更意向书后的14天内，向监理人提交变更报价书，报价内容应根据第15.4款约定的估价原则，详细开列变更工作的价格组成及其依据，并附必要的施工方法说明和有关图纸。承包人提交变更报价书的期限见合同条款专用部分。</w:t>
      </w:r>
    </w:p>
    <w:p w14:paraId="7E4B22B3">
      <w:pPr>
        <w:tabs>
          <w:tab w:val="left" w:pos="3855"/>
        </w:tabs>
        <w:spacing w:line="360" w:lineRule="auto"/>
        <w:rPr>
          <w:rFonts w:ascii="宋体" w:hAnsi="宋体" w:cs="宋体"/>
          <w:szCs w:val="21"/>
        </w:rPr>
      </w:pPr>
      <w:r>
        <w:rPr>
          <w:rFonts w:hint="eastAsia" w:ascii="宋体" w:hAnsi="宋体" w:cs="宋体"/>
          <w:szCs w:val="21"/>
        </w:rPr>
        <w:t>（2）变更工作影响工期的，承包人应提出调整工期的具体细节。监理人认为有必要时，可要求承包人提交要求提前或延长工期的施工进度计划，及相应施工措施等详细资料。</w:t>
      </w:r>
    </w:p>
    <w:p w14:paraId="237F22AB">
      <w:pPr>
        <w:tabs>
          <w:tab w:val="left" w:pos="3855"/>
        </w:tabs>
        <w:spacing w:line="360" w:lineRule="auto"/>
        <w:rPr>
          <w:rFonts w:ascii="宋体" w:hAnsi="宋体" w:cs="宋体"/>
          <w:szCs w:val="21"/>
        </w:rPr>
      </w:pPr>
      <w:r>
        <w:rPr>
          <w:rFonts w:hint="eastAsia" w:ascii="宋体" w:hAnsi="宋体" w:cs="宋体"/>
          <w:szCs w:val="21"/>
        </w:rPr>
        <w:t>（3）除合同条款专用部分对期限另有约定外，监理人收到承包人变更报价书后的14天内，根据第15.4款约定的估价原则，按照第3.5款商定或确定变更价格。监理人商定或确定变更价格的期限见合同条款专用部分。</w:t>
      </w:r>
    </w:p>
    <w:p w14:paraId="5F61B47D">
      <w:pPr>
        <w:tabs>
          <w:tab w:val="left" w:pos="3855"/>
        </w:tabs>
        <w:spacing w:line="360" w:lineRule="auto"/>
        <w:rPr>
          <w:rFonts w:ascii="宋体" w:hAnsi="宋体" w:cs="宋体"/>
          <w:szCs w:val="21"/>
        </w:rPr>
      </w:pPr>
      <w:r>
        <w:rPr>
          <w:rFonts w:hint="eastAsia" w:ascii="宋体" w:hAnsi="宋体" w:cs="宋体"/>
          <w:szCs w:val="21"/>
        </w:rPr>
        <w:t>（4）收到变更指示后，如承包人未在规定的期限内提交变更报价书的，监理人可自行决定是否调整合同价款以及如果监理人决定调整合同价款时，相应调整的具体金额。</w:t>
      </w:r>
    </w:p>
    <w:p w14:paraId="42560C5B">
      <w:pPr>
        <w:tabs>
          <w:tab w:val="left" w:pos="3855"/>
        </w:tabs>
        <w:spacing w:line="360" w:lineRule="auto"/>
        <w:outlineLvl w:val="2"/>
        <w:rPr>
          <w:rFonts w:ascii="宋体" w:hAnsi="宋体" w:cs="宋体"/>
          <w:szCs w:val="21"/>
        </w:rPr>
      </w:pPr>
      <w:r>
        <w:rPr>
          <w:rFonts w:hint="eastAsia" w:ascii="宋体" w:hAnsi="宋体" w:cs="宋体"/>
          <w:szCs w:val="21"/>
        </w:rPr>
        <w:t>15.3.3  变更指示</w:t>
      </w:r>
    </w:p>
    <w:p w14:paraId="7A24DCF1">
      <w:pPr>
        <w:tabs>
          <w:tab w:val="left" w:pos="3855"/>
        </w:tabs>
        <w:spacing w:line="360" w:lineRule="auto"/>
        <w:rPr>
          <w:rFonts w:ascii="宋体" w:hAnsi="宋体" w:cs="宋体"/>
          <w:szCs w:val="21"/>
        </w:rPr>
      </w:pPr>
      <w:r>
        <w:rPr>
          <w:rFonts w:hint="eastAsia" w:ascii="宋体" w:hAnsi="宋体" w:cs="宋体"/>
          <w:szCs w:val="21"/>
        </w:rPr>
        <w:t>（1）变更指示由发包人或监理人发出。</w:t>
      </w:r>
    </w:p>
    <w:p w14:paraId="733CFA3D">
      <w:pPr>
        <w:tabs>
          <w:tab w:val="left" w:pos="3855"/>
        </w:tabs>
        <w:spacing w:line="360" w:lineRule="auto"/>
        <w:rPr>
          <w:rFonts w:ascii="宋体" w:hAnsi="宋体" w:cs="宋体"/>
          <w:szCs w:val="21"/>
        </w:rPr>
      </w:pPr>
      <w:r>
        <w:rPr>
          <w:rFonts w:hint="eastAsia" w:ascii="宋体" w:hAnsi="宋体" w:cs="宋体"/>
          <w:szCs w:val="21"/>
        </w:rPr>
        <w:t>（2）变更指示应说明变更的目的、范围、变更内容以及变更的工程量及其进度和技术要求，并附有关图纸和文件。承包人收到变更指示后，应按变更指示进行变更工作。</w:t>
      </w:r>
    </w:p>
    <w:p w14:paraId="0558FD8F">
      <w:pPr>
        <w:tabs>
          <w:tab w:val="left" w:pos="3855"/>
        </w:tabs>
        <w:spacing w:line="360" w:lineRule="auto"/>
        <w:outlineLvl w:val="1"/>
        <w:rPr>
          <w:rFonts w:ascii="宋体" w:hAnsi="宋体" w:cs="宋体"/>
          <w:szCs w:val="21"/>
        </w:rPr>
      </w:pPr>
      <w:bookmarkStart w:id="1805" w:name="_Toc490222593"/>
      <w:bookmarkStart w:id="1806" w:name="_Toc480487002"/>
      <w:bookmarkStart w:id="1807" w:name="_Toc342296361"/>
      <w:bookmarkStart w:id="1808" w:name="_Toc483668177"/>
      <w:bookmarkStart w:id="1809" w:name="_Toc489279959"/>
      <w:bookmarkStart w:id="1810" w:name="_Toc497456538"/>
      <w:bookmarkStart w:id="1811" w:name="_Toc486580148"/>
      <w:bookmarkStart w:id="1812" w:name="_Toc338944803"/>
      <w:bookmarkStart w:id="1813" w:name="_Toc480486830"/>
      <w:r>
        <w:rPr>
          <w:rFonts w:hint="eastAsia" w:ascii="宋体" w:hAnsi="宋体" w:cs="宋体"/>
          <w:szCs w:val="21"/>
        </w:rPr>
        <w:t>15.4  变更的估价原则</w:t>
      </w:r>
      <w:bookmarkEnd w:id="1805"/>
      <w:bookmarkEnd w:id="1806"/>
      <w:bookmarkEnd w:id="1807"/>
      <w:bookmarkEnd w:id="1808"/>
      <w:bookmarkEnd w:id="1809"/>
      <w:bookmarkEnd w:id="1810"/>
      <w:bookmarkEnd w:id="1811"/>
      <w:bookmarkEnd w:id="1812"/>
      <w:bookmarkEnd w:id="1813"/>
    </w:p>
    <w:p w14:paraId="4204131E">
      <w:pPr>
        <w:tabs>
          <w:tab w:val="left" w:pos="3855"/>
        </w:tabs>
        <w:spacing w:line="360" w:lineRule="auto"/>
        <w:rPr>
          <w:rFonts w:ascii="宋体" w:hAnsi="宋体" w:cs="宋体"/>
          <w:szCs w:val="21"/>
        </w:rPr>
      </w:pPr>
      <w:r>
        <w:rPr>
          <w:rFonts w:hint="eastAsia" w:ascii="宋体" w:hAnsi="宋体" w:cs="宋体"/>
          <w:szCs w:val="21"/>
        </w:rPr>
        <w:t>因工程量清单漏项（仅适用于合同协议书约定采用单价合同形式时）或变更引起的价格调整按照本款约定处理。</w:t>
      </w:r>
    </w:p>
    <w:p w14:paraId="315E3A45">
      <w:pPr>
        <w:tabs>
          <w:tab w:val="left" w:pos="3855"/>
        </w:tabs>
        <w:spacing w:line="360" w:lineRule="auto"/>
        <w:outlineLvl w:val="2"/>
        <w:rPr>
          <w:rFonts w:ascii="宋体" w:hAnsi="宋体" w:cs="宋体"/>
          <w:szCs w:val="21"/>
        </w:rPr>
      </w:pPr>
      <w:r>
        <w:rPr>
          <w:rFonts w:hint="eastAsia" w:ascii="宋体" w:hAnsi="宋体" w:cs="宋体"/>
          <w:szCs w:val="21"/>
        </w:rPr>
        <w:t>15.4.1</w:t>
      </w:r>
      <w:r>
        <w:rPr>
          <w:rFonts w:ascii="宋体" w:hAnsi="宋体" w:cs="宋体"/>
          <w:szCs w:val="21"/>
        </w:rPr>
        <w:t xml:space="preserve"> </w:t>
      </w:r>
      <w:r>
        <w:rPr>
          <w:rFonts w:hint="eastAsia" w:ascii="宋体" w:hAnsi="宋体" w:cs="宋体"/>
          <w:szCs w:val="21"/>
        </w:rPr>
        <w:t>已标价工程量清单中有适用于变更工作的子目的，采用该子目的单价。</w:t>
      </w:r>
    </w:p>
    <w:p w14:paraId="06EE30C7">
      <w:pPr>
        <w:tabs>
          <w:tab w:val="left" w:pos="3855"/>
        </w:tabs>
        <w:spacing w:line="360" w:lineRule="auto"/>
        <w:outlineLvl w:val="2"/>
        <w:rPr>
          <w:rFonts w:ascii="宋体" w:hAnsi="宋体" w:cs="宋体"/>
          <w:szCs w:val="21"/>
        </w:rPr>
      </w:pPr>
      <w:r>
        <w:rPr>
          <w:rFonts w:hint="eastAsia" w:ascii="宋体" w:hAnsi="宋体" w:cs="宋体"/>
          <w:szCs w:val="21"/>
        </w:rPr>
        <w:t>15.4.2已标价工程量清单中无适用于变更工作的子目，但有类似子目的，可在合理范围内参照类似子目的单价，由监理人按第3.5款商定或确定变更工作的单价。</w:t>
      </w:r>
    </w:p>
    <w:p w14:paraId="7AD1EF3F">
      <w:pPr>
        <w:tabs>
          <w:tab w:val="left" w:pos="3855"/>
        </w:tabs>
        <w:spacing w:line="360" w:lineRule="auto"/>
        <w:outlineLvl w:val="2"/>
        <w:rPr>
          <w:rFonts w:ascii="宋体" w:hAnsi="宋体" w:cs="宋体"/>
          <w:szCs w:val="21"/>
        </w:rPr>
      </w:pPr>
      <w:r>
        <w:rPr>
          <w:rFonts w:hint="eastAsia" w:ascii="宋体" w:hAnsi="宋体" w:cs="宋体"/>
          <w:szCs w:val="21"/>
        </w:rPr>
        <w:t>15.4.3</w:t>
      </w:r>
      <w:r>
        <w:rPr>
          <w:rFonts w:ascii="宋体" w:hAnsi="宋体" w:cs="宋体"/>
          <w:szCs w:val="21"/>
        </w:rPr>
        <w:t xml:space="preserve"> </w:t>
      </w:r>
      <w:r>
        <w:rPr>
          <w:rFonts w:hint="eastAsia" w:ascii="宋体" w:hAnsi="宋体" w:cs="宋体"/>
          <w:szCs w:val="21"/>
        </w:rPr>
        <w:t>已标价工程量清单中无适用或类似子目的单价，可按照成本加利润的原则，由监理人按第3.5款商定或确定变更工作的单价。</w:t>
      </w:r>
    </w:p>
    <w:p w14:paraId="62D4437D">
      <w:pPr>
        <w:tabs>
          <w:tab w:val="left" w:pos="3855"/>
        </w:tabs>
        <w:spacing w:line="360" w:lineRule="auto"/>
        <w:outlineLvl w:val="2"/>
        <w:rPr>
          <w:rFonts w:ascii="宋体" w:hAnsi="宋体" w:cs="宋体"/>
          <w:szCs w:val="21"/>
        </w:rPr>
      </w:pPr>
      <w:r>
        <w:rPr>
          <w:rFonts w:hint="eastAsia" w:ascii="宋体" w:hAnsi="宋体" w:cs="宋体"/>
          <w:szCs w:val="21"/>
        </w:rPr>
        <w:t>15.4.4</w:t>
      </w:r>
      <w:r>
        <w:rPr>
          <w:rFonts w:ascii="宋体" w:hAnsi="宋体" w:cs="宋体"/>
          <w:szCs w:val="21"/>
        </w:rPr>
        <w:t xml:space="preserve"> </w:t>
      </w:r>
      <w:r>
        <w:rPr>
          <w:rFonts w:hint="eastAsia" w:ascii="宋体" w:hAnsi="宋体" w:cs="宋体"/>
          <w:szCs w:val="21"/>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042DF924">
      <w:pPr>
        <w:tabs>
          <w:tab w:val="left" w:pos="3855"/>
        </w:tabs>
        <w:spacing w:line="360" w:lineRule="auto"/>
        <w:outlineLvl w:val="2"/>
        <w:rPr>
          <w:rFonts w:ascii="宋体" w:hAnsi="宋体" w:cs="宋体"/>
          <w:szCs w:val="21"/>
        </w:rPr>
      </w:pPr>
      <w:r>
        <w:rPr>
          <w:rFonts w:hint="eastAsia" w:ascii="宋体" w:hAnsi="宋体" w:cs="宋体"/>
          <w:szCs w:val="21"/>
        </w:rPr>
        <w:t>15.4.5</w:t>
      </w:r>
      <w:r>
        <w:rPr>
          <w:rFonts w:ascii="宋体" w:hAnsi="宋体" w:cs="宋体"/>
          <w:szCs w:val="21"/>
        </w:rPr>
        <w:t xml:space="preserve"> </w:t>
      </w:r>
      <w:r>
        <w:rPr>
          <w:rFonts w:hint="eastAsia" w:ascii="宋体" w:hAnsi="宋体" w:cs="宋体"/>
          <w:szCs w:val="21"/>
        </w:rPr>
        <w:t>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14:paraId="72BB8EAD">
      <w:pPr>
        <w:tabs>
          <w:tab w:val="left" w:pos="3855"/>
        </w:tabs>
        <w:spacing w:line="360" w:lineRule="auto"/>
        <w:outlineLvl w:val="2"/>
        <w:rPr>
          <w:rFonts w:ascii="宋体" w:hAnsi="宋体" w:cs="宋体"/>
          <w:szCs w:val="21"/>
        </w:rPr>
      </w:pPr>
      <w:r>
        <w:rPr>
          <w:rFonts w:hint="eastAsia" w:ascii="宋体" w:hAnsi="宋体" w:cs="宋体"/>
          <w:szCs w:val="21"/>
        </w:rPr>
        <w:t>15.4.6  因变更引起价格调整的其他处理方式见合同条款专用部分。</w:t>
      </w:r>
    </w:p>
    <w:p w14:paraId="205D7052">
      <w:pPr>
        <w:tabs>
          <w:tab w:val="left" w:pos="3855"/>
        </w:tabs>
        <w:spacing w:line="360" w:lineRule="auto"/>
        <w:outlineLvl w:val="1"/>
        <w:rPr>
          <w:rFonts w:ascii="宋体" w:hAnsi="宋体" w:cs="宋体"/>
          <w:szCs w:val="21"/>
        </w:rPr>
      </w:pPr>
      <w:bookmarkStart w:id="1814" w:name="_Toc486580149"/>
      <w:bookmarkStart w:id="1815" w:name="_Toc497456539"/>
      <w:bookmarkStart w:id="1816" w:name="_Toc480487003"/>
      <w:bookmarkStart w:id="1817" w:name="_Toc342296362"/>
      <w:bookmarkStart w:id="1818" w:name="_Toc480486831"/>
      <w:bookmarkStart w:id="1819" w:name="_Toc490222594"/>
      <w:bookmarkStart w:id="1820" w:name="_Toc489279960"/>
      <w:bookmarkStart w:id="1821" w:name="_Toc483668178"/>
      <w:bookmarkStart w:id="1822" w:name="_Toc338944804"/>
      <w:r>
        <w:rPr>
          <w:rFonts w:hint="eastAsia" w:ascii="宋体" w:hAnsi="宋体" w:cs="宋体"/>
          <w:szCs w:val="21"/>
        </w:rPr>
        <w:t>15.5  承包人的合理化建议</w:t>
      </w:r>
      <w:bookmarkEnd w:id="1814"/>
      <w:bookmarkEnd w:id="1815"/>
      <w:bookmarkEnd w:id="1816"/>
      <w:bookmarkEnd w:id="1817"/>
      <w:bookmarkEnd w:id="1818"/>
      <w:bookmarkEnd w:id="1819"/>
      <w:bookmarkEnd w:id="1820"/>
      <w:bookmarkEnd w:id="1821"/>
      <w:bookmarkEnd w:id="1822"/>
    </w:p>
    <w:p w14:paraId="3BAABBCD">
      <w:pPr>
        <w:tabs>
          <w:tab w:val="left" w:pos="3855"/>
        </w:tabs>
        <w:spacing w:line="360" w:lineRule="auto"/>
        <w:outlineLvl w:val="2"/>
        <w:rPr>
          <w:rFonts w:ascii="宋体" w:hAnsi="宋体" w:cs="宋体"/>
          <w:szCs w:val="21"/>
        </w:rPr>
      </w:pPr>
      <w:r>
        <w:rPr>
          <w:rFonts w:hint="eastAsia" w:ascii="宋体" w:hAnsi="宋体" w:cs="宋体"/>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1FF3824A">
      <w:pPr>
        <w:tabs>
          <w:tab w:val="left" w:pos="3855"/>
        </w:tabs>
        <w:spacing w:line="360" w:lineRule="auto"/>
        <w:outlineLvl w:val="2"/>
        <w:rPr>
          <w:rFonts w:ascii="宋体" w:hAnsi="宋体" w:cs="宋体"/>
          <w:szCs w:val="21"/>
        </w:rPr>
      </w:pPr>
      <w:r>
        <w:rPr>
          <w:rFonts w:hint="eastAsia" w:ascii="宋体" w:hAnsi="宋体" w:cs="宋体"/>
          <w:szCs w:val="21"/>
        </w:rPr>
        <w:t>15.5.2  承包人提出的合理化建议降低了合同价格、缩短了工期或者提高了工程经济效益的，发包人可按国家有关规定给予奖励。对承包人提出合理化建议的奖励方法见合同条款专用部分。</w:t>
      </w:r>
    </w:p>
    <w:p w14:paraId="5BDA0A0D">
      <w:pPr>
        <w:tabs>
          <w:tab w:val="left" w:pos="3855"/>
        </w:tabs>
        <w:spacing w:line="360" w:lineRule="auto"/>
        <w:outlineLvl w:val="1"/>
        <w:rPr>
          <w:rFonts w:ascii="宋体" w:hAnsi="宋体" w:cs="宋体"/>
          <w:szCs w:val="21"/>
        </w:rPr>
      </w:pPr>
      <w:bookmarkStart w:id="1823" w:name="_Toc497456540"/>
      <w:bookmarkStart w:id="1824" w:name="_Toc480487004"/>
      <w:bookmarkStart w:id="1825" w:name="_Toc342296363"/>
      <w:bookmarkStart w:id="1826" w:name="_Toc490222595"/>
      <w:bookmarkStart w:id="1827" w:name="_Toc152042490"/>
      <w:bookmarkStart w:id="1828" w:name="_Toc144974681"/>
      <w:bookmarkStart w:id="1829" w:name="_Toc338944805"/>
      <w:bookmarkStart w:id="1830" w:name="_Toc489279961"/>
      <w:bookmarkStart w:id="1831" w:name="_Toc179632730"/>
      <w:bookmarkStart w:id="1832" w:name="_Toc480486832"/>
      <w:bookmarkStart w:id="1833" w:name="_Toc486580150"/>
      <w:bookmarkStart w:id="1834" w:name="_Toc152045712"/>
      <w:bookmarkStart w:id="1835" w:name="_Toc483668179"/>
      <w:r>
        <w:rPr>
          <w:rFonts w:hint="eastAsia" w:ascii="宋体" w:hAnsi="宋体" w:cs="宋体"/>
          <w:szCs w:val="21"/>
        </w:rPr>
        <w:t>15.6  暂列金额</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14:paraId="56C08544">
      <w:pPr>
        <w:tabs>
          <w:tab w:val="left" w:pos="3855"/>
        </w:tabs>
        <w:spacing w:line="360" w:lineRule="auto"/>
        <w:rPr>
          <w:rFonts w:ascii="宋体" w:hAnsi="宋体" w:cs="宋体"/>
          <w:szCs w:val="21"/>
        </w:rPr>
      </w:pPr>
      <w:r>
        <w:rPr>
          <w:rFonts w:hint="eastAsia" w:ascii="宋体" w:hAnsi="宋体" w:cs="宋体"/>
          <w:szCs w:val="21"/>
        </w:rPr>
        <w:t>暂列金额只能按照监理人的指示使用，并对合同价格进行相应调整。</w:t>
      </w:r>
    </w:p>
    <w:p w14:paraId="32C554CD">
      <w:pPr>
        <w:tabs>
          <w:tab w:val="left" w:pos="3855"/>
        </w:tabs>
        <w:spacing w:line="360" w:lineRule="auto"/>
        <w:outlineLvl w:val="1"/>
        <w:rPr>
          <w:rFonts w:ascii="宋体" w:hAnsi="宋体" w:cs="宋体"/>
          <w:szCs w:val="21"/>
        </w:rPr>
      </w:pPr>
      <w:bookmarkStart w:id="1836" w:name="_Toc152042491"/>
      <w:bookmarkStart w:id="1837" w:name="_Toc152045713"/>
      <w:bookmarkStart w:id="1838" w:name="_Toc483668180"/>
      <w:bookmarkStart w:id="1839" w:name="_Toc480487005"/>
      <w:bookmarkStart w:id="1840" w:name="_Toc486580151"/>
      <w:bookmarkStart w:id="1841" w:name="_Toc338944806"/>
      <w:bookmarkStart w:id="1842" w:name="_Toc490222596"/>
      <w:bookmarkStart w:id="1843" w:name="_Toc489279962"/>
      <w:bookmarkStart w:id="1844" w:name="_Toc480486833"/>
      <w:bookmarkStart w:id="1845" w:name="_Toc144974682"/>
      <w:bookmarkStart w:id="1846" w:name="_Toc179632731"/>
      <w:bookmarkStart w:id="1847" w:name="_Toc342296364"/>
      <w:bookmarkStart w:id="1848" w:name="_Toc497456541"/>
      <w:r>
        <w:rPr>
          <w:rFonts w:hint="eastAsia" w:ascii="宋体" w:hAnsi="宋体" w:cs="宋体"/>
          <w:szCs w:val="21"/>
        </w:rPr>
        <w:t>15.7  计日工</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14:paraId="575300CE">
      <w:pPr>
        <w:tabs>
          <w:tab w:val="left" w:pos="3855"/>
        </w:tabs>
        <w:spacing w:line="360" w:lineRule="auto"/>
        <w:outlineLvl w:val="2"/>
        <w:rPr>
          <w:rFonts w:ascii="宋体" w:hAnsi="宋体" w:cs="宋体"/>
          <w:szCs w:val="21"/>
        </w:rPr>
      </w:pPr>
      <w:r>
        <w:rPr>
          <w:rFonts w:hint="eastAsia" w:ascii="宋体" w:hAnsi="宋体" w:cs="宋体"/>
          <w:szCs w:val="21"/>
        </w:rPr>
        <w:t>15.7.1  发包人认为有必要时，由监理人通知承包人以计日工方式实施变更的零星工作。其价款按列入已标价工程量清单中的计日工计价子目及其单价进行计算。</w:t>
      </w:r>
    </w:p>
    <w:p w14:paraId="2652D1DA">
      <w:pPr>
        <w:tabs>
          <w:tab w:val="left" w:pos="3855"/>
        </w:tabs>
        <w:spacing w:line="360" w:lineRule="auto"/>
        <w:outlineLvl w:val="2"/>
        <w:rPr>
          <w:rFonts w:ascii="宋体" w:hAnsi="宋体" w:cs="宋体"/>
          <w:szCs w:val="21"/>
        </w:rPr>
      </w:pPr>
      <w:r>
        <w:rPr>
          <w:rFonts w:hint="eastAsia" w:ascii="宋体" w:hAnsi="宋体" w:cs="宋体"/>
          <w:szCs w:val="21"/>
        </w:rPr>
        <w:t>15.7.2  采用计日工计价的任何一项变更工作，应从暂列金额中支付，承包人应在该项变更的实施过程中，每天提交以下报表和有关凭证报送监理人审批：</w:t>
      </w:r>
    </w:p>
    <w:p w14:paraId="52496B11">
      <w:pPr>
        <w:tabs>
          <w:tab w:val="left" w:pos="3855"/>
        </w:tabs>
        <w:spacing w:line="360" w:lineRule="auto"/>
        <w:rPr>
          <w:rFonts w:ascii="宋体" w:hAnsi="宋体" w:cs="宋体"/>
          <w:szCs w:val="21"/>
        </w:rPr>
      </w:pPr>
      <w:r>
        <w:rPr>
          <w:rFonts w:hint="eastAsia" w:ascii="宋体" w:hAnsi="宋体" w:cs="宋体"/>
          <w:szCs w:val="21"/>
        </w:rPr>
        <w:t>（1）工作名称、内容和数量；</w:t>
      </w:r>
    </w:p>
    <w:p w14:paraId="659D40F7">
      <w:pPr>
        <w:tabs>
          <w:tab w:val="left" w:pos="3855"/>
        </w:tabs>
        <w:spacing w:line="360" w:lineRule="auto"/>
        <w:rPr>
          <w:rFonts w:ascii="宋体" w:hAnsi="宋体" w:cs="宋体"/>
          <w:szCs w:val="21"/>
        </w:rPr>
      </w:pPr>
      <w:r>
        <w:rPr>
          <w:rFonts w:hint="eastAsia" w:ascii="宋体" w:hAnsi="宋体" w:cs="宋体"/>
          <w:szCs w:val="21"/>
        </w:rPr>
        <w:t>（2）投入该工作所有人员的姓名、工种、级别和耗用工时；</w:t>
      </w:r>
    </w:p>
    <w:p w14:paraId="5CD2431B">
      <w:pPr>
        <w:tabs>
          <w:tab w:val="left" w:pos="3855"/>
        </w:tabs>
        <w:spacing w:line="360" w:lineRule="auto"/>
        <w:rPr>
          <w:rFonts w:ascii="宋体" w:hAnsi="宋体" w:cs="宋体"/>
          <w:szCs w:val="21"/>
        </w:rPr>
      </w:pPr>
      <w:r>
        <w:rPr>
          <w:rFonts w:hint="eastAsia" w:ascii="宋体" w:hAnsi="宋体" w:cs="宋体"/>
          <w:szCs w:val="21"/>
        </w:rPr>
        <w:t>（3）投入该工作的材料类别和数量；</w:t>
      </w:r>
    </w:p>
    <w:p w14:paraId="09655AEC">
      <w:pPr>
        <w:tabs>
          <w:tab w:val="left" w:pos="3855"/>
        </w:tabs>
        <w:spacing w:line="360" w:lineRule="auto"/>
        <w:rPr>
          <w:rFonts w:ascii="宋体" w:hAnsi="宋体" w:cs="宋体"/>
          <w:szCs w:val="21"/>
        </w:rPr>
      </w:pPr>
      <w:r>
        <w:rPr>
          <w:rFonts w:hint="eastAsia" w:ascii="宋体" w:hAnsi="宋体" w:cs="宋体"/>
          <w:szCs w:val="21"/>
        </w:rPr>
        <w:t>（4）投入该工作的施工设备型号、台数和耗用台时；</w:t>
      </w:r>
    </w:p>
    <w:p w14:paraId="105DC9BB">
      <w:pPr>
        <w:tabs>
          <w:tab w:val="left" w:pos="3855"/>
        </w:tabs>
        <w:spacing w:line="360" w:lineRule="auto"/>
        <w:rPr>
          <w:rFonts w:ascii="宋体" w:hAnsi="宋体" w:cs="宋体"/>
          <w:szCs w:val="21"/>
        </w:rPr>
      </w:pPr>
      <w:r>
        <w:rPr>
          <w:rFonts w:hint="eastAsia" w:ascii="宋体" w:hAnsi="宋体" w:cs="宋体"/>
          <w:szCs w:val="21"/>
        </w:rPr>
        <w:t>（5）监理人要求提交的其他资料和凭证。</w:t>
      </w:r>
    </w:p>
    <w:p w14:paraId="7910D509">
      <w:pPr>
        <w:tabs>
          <w:tab w:val="left" w:pos="3855"/>
        </w:tabs>
        <w:spacing w:line="360" w:lineRule="auto"/>
        <w:outlineLvl w:val="2"/>
        <w:rPr>
          <w:rFonts w:ascii="宋体" w:hAnsi="宋体" w:cs="宋体"/>
          <w:szCs w:val="21"/>
        </w:rPr>
      </w:pPr>
      <w:r>
        <w:rPr>
          <w:rFonts w:hint="eastAsia" w:ascii="宋体" w:hAnsi="宋体" w:cs="宋体"/>
          <w:szCs w:val="21"/>
        </w:rPr>
        <w:t>15.7.3  计日工由承包人汇总后，按第17.3.2项的约定列入进度付款申请单，由监理人复核并经发包人同意后列入进度付款。</w:t>
      </w:r>
    </w:p>
    <w:p w14:paraId="15C9ACC3">
      <w:pPr>
        <w:tabs>
          <w:tab w:val="left" w:pos="3855"/>
        </w:tabs>
        <w:spacing w:line="360" w:lineRule="auto"/>
        <w:outlineLvl w:val="0"/>
        <w:rPr>
          <w:rFonts w:ascii="宋体" w:hAnsi="宋体" w:cs="宋体"/>
          <w:szCs w:val="21"/>
        </w:rPr>
      </w:pPr>
      <w:bookmarkStart w:id="1849" w:name="_Toc486580153"/>
      <w:bookmarkStart w:id="1850" w:name="_Toc489279964"/>
      <w:bookmarkStart w:id="1851" w:name="_Toc117350522"/>
      <w:bookmarkStart w:id="1852" w:name="_Toc480487007"/>
      <w:bookmarkStart w:id="1853" w:name="_Toc480486835"/>
      <w:bookmarkStart w:id="1854" w:name="_Toc483668182"/>
      <w:bookmarkStart w:id="1855" w:name="_Toc490222598"/>
      <w:bookmarkStart w:id="1856" w:name="_Toc342296366"/>
      <w:bookmarkStart w:id="1857" w:name="_Toc338944808"/>
      <w:bookmarkStart w:id="1858" w:name="_Toc480487010"/>
      <w:bookmarkStart w:id="1859" w:name="_Toc483668185"/>
      <w:bookmarkStart w:id="1860" w:name="_Toc342296369"/>
      <w:bookmarkStart w:id="1861" w:name="_Toc480486838"/>
      <w:bookmarkStart w:id="1862" w:name="_Toc497456546"/>
      <w:bookmarkStart w:id="1863" w:name="_Toc489279967"/>
      <w:bookmarkStart w:id="1864" w:name="_Toc338944811"/>
      <w:bookmarkStart w:id="1865" w:name="_Toc490222601"/>
      <w:bookmarkStart w:id="1866" w:name="_Toc486580156"/>
      <w:r>
        <w:rPr>
          <w:rFonts w:hint="eastAsia" w:ascii="宋体" w:hAnsi="宋体" w:cs="宋体"/>
          <w:szCs w:val="21"/>
        </w:rPr>
        <w:t>16.价格调整</w:t>
      </w:r>
      <w:bookmarkEnd w:id="1849"/>
      <w:bookmarkEnd w:id="1850"/>
      <w:bookmarkEnd w:id="1851"/>
      <w:bookmarkEnd w:id="1852"/>
      <w:bookmarkEnd w:id="1853"/>
      <w:bookmarkEnd w:id="1854"/>
      <w:bookmarkEnd w:id="1855"/>
      <w:bookmarkEnd w:id="1856"/>
      <w:bookmarkEnd w:id="1857"/>
    </w:p>
    <w:p w14:paraId="74F57D4B">
      <w:pPr>
        <w:tabs>
          <w:tab w:val="left" w:pos="3855"/>
        </w:tabs>
        <w:spacing w:line="360" w:lineRule="auto"/>
        <w:outlineLvl w:val="1"/>
        <w:rPr>
          <w:rFonts w:ascii="宋体" w:hAnsi="宋体" w:cs="宋体"/>
          <w:szCs w:val="21"/>
        </w:rPr>
      </w:pPr>
      <w:bookmarkStart w:id="1867" w:name="_Toc486580154"/>
      <w:bookmarkStart w:id="1868" w:name="_Toc342296367"/>
      <w:bookmarkStart w:id="1869" w:name="_Toc483668183"/>
      <w:bookmarkStart w:id="1870" w:name="_Toc480486836"/>
      <w:bookmarkStart w:id="1871" w:name="_Toc480487008"/>
      <w:bookmarkStart w:id="1872" w:name="_Toc117350523"/>
      <w:bookmarkStart w:id="1873" w:name="_Toc338944809"/>
      <w:bookmarkStart w:id="1874" w:name="_Toc490222599"/>
      <w:bookmarkStart w:id="1875" w:name="_Toc489279965"/>
      <w:r>
        <w:rPr>
          <w:rFonts w:hint="eastAsia" w:ascii="宋体" w:hAnsi="宋体" w:cs="宋体"/>
          <w:szCs w:val="21"/>
        </w:rPr>
        <w:t>16.1  物价波动引起的价格调整</w:t>
      </w:r>
      <w:bookmarkEnd w:id="1867"/>
      <w:bookmarkEnd w:id="1868"/>
      <w:bookmarkEnd w:id="1869"/>
      <w:bookmarkEnd w:id="1870"/>
      <w:bookmarkEnd w:id="1871"/>
      <w:bookmarkEnd w:id="1872"/>
      <w:bookmarkEnd w:id="1873"/>
      <w:bookmarkEnd w:id="1874"/>
      <w:bookmarkEnd w:id="1875"/>
    </w:p>
    <w:p w14:paraId="08D498E4">
      <w:pPr>
        <w:tabs>
          <w:tab w:val="left" w:pos="3855"/>
        </w:tabs>
        <w:spacing w:line="360" w:lineRule="auto"/>
        <w:rPr>
          <w:rFonts w:ascii="宋体" w:hAnsi="宋体" w:cs="宋体"/>
          <w:szCs w:val="21"/>
        </w:rPr>
      </w:pPr>
      <w:r>
        <w:rPr>
          <w:rFonts w:hint="eastAsia" w:ascii="宋体" w:hAnsi="宋体" w:cs="宋体"/>
          <w:szCs w:val="21"/>
        </w:rPr>
        <w:t>除合同条款专用部分另有约定外，因物价波动引起的价格调整按照本款约定处理。</w:t>
      </w:r>
    </w:p>
    <w:p w14:paraId="5EFA1301">
      <w:pPr>
        <w:tabs>
          <w:tab w:val="left" w:pos="3855"/>
        </w:tabs>
        <w:spacing w:line="360" w:lineRule="auto"/>
        <w:outlineLvl w:val="2"/>
        <w:rPr>
          <w:rFonts w:ascii="宋体" w:hAnsi="宋体" w:cs="宋体"/>
          <w:szCs w:val="21"/>
        </w:rPr>
      </w:pPr>
      <w:r>
        <w:rPr>
          <w:rFonts w:hint="eastAsia" w:ascii="宋体" w:hAnsi="宋体" w:cs="宋体"/>
          <w:szCs w:val="21"/>
        </w:rPr>
        <w:t>16.1.1 采用价格指数调整价格差额</w:t>
      </w:r>
    </w:p>
    <w:p w14:paraId="3AB805B3">
      <w:pPr>
        <w:tabs>
          <w:tab w:val="left" w:pos="3855"/>
        </w:tabs>
        <w:spacing w:line="360" w:lineRule="auto"/>
        <w:outlineLvl w:val="3"/>
        <w:rPr>
          <w:rFonts w:ascii="宋体" w:hAnsi="宋体" w:cs="宋体"/>
          <w:szCs w:val="21"/>
        </w:rPr>
      </w:pPr>
      <w:bookmarkStart w:id="1876" w:name="_Toc429569374"/>
      <w:r>
        <w:rPr>
          <w:rFonts w:hint="eastAsia" w:ascii="宋体" w:hAnsi="宋体" w:cs="宋体"/>
          <w:szCs w:val="21"/>
        </w:rPr>
        <w:t>16.1.1.1 价格调整公式</w:t>
      </w:r>
      <w:bookmarkEnd w:id="1876"/>
    </w:p>
    <w:p w14:paraId="40BF72ED">
      <w:pPr>
        <w:tabs>
          <w:tab w:val="left" w:pos="3855"/>
        </w:tabs>
        <w:spacing w:line="360" w:lineRule="auto"/>
        <w:rPr>
          <w:rFonts w:ascii="宋体" w:hAnsi="宋体" w:cs="宋体"/>
          <w:szCs w:val="21"/>
        </w:rPr>
      </w:pPr>
      <w:r>
        <w:rPr>
          <w:rFonts w:hint="eastAsia" w:ascii="宋体" w:hAnsi="宋体" w:cs="宋体"/>
          <w:szCs w:val="21"/>
        </w:rPr>
        <w:t>因人工、材料和设备等价格波动影响合同价格时，根据投标函附录中的价格指数和权重表约定的数据，按以下公式计算差额并调整合同价格。</w:t>
      </w:r>
    </w:p>
    <w:p w14:paraId="0BA8D235">
      <w:pPr>
        <w:tabs>
          <w:tab w:val="left" w:pos="3855"/>
        </w:tabs>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rPr>
        <w:object>
          <v:shape id="_x0000_i1025" o:spt="75" type="#_x0000_t75" style="height:42pt;width:305.25pt;" o:ole="t" filled="f" o:preferrelative="t" stroked="f" coordsize="21600,21600">
            <v:path/>
            <v:fill on="f" focussize="0,0"/>
            <v:stroke on="f" joinstyle="miter"/>
            <v:imagedata r:id="rId36" o:title=""/>
            <o:lock v:ext="edit" aspectratio="t"/>
            <w10:wrap type="none"/>
            <w10:anchorlock/>
          </v:shape>
          <o:OLEObject Type="Embed" ProgID="Equation.3" ShapeID="_x0000_i1025" DrawAspect="Content" ObjectID="_1468075725" r:id="rId35">
            <o:LockedField>false</o:LockedField>
          </o:OLEObject>
        </w:object>
      </w:r>
    </w:p>
    <w:p w14:paraId="6694E224">
      <w:pPr>
        <w:tabs>
          <w:tab w:val="left" w:pos="3855"/>
        </w:tabs>
        <w:spacing w:line="360" w:lineRule="auto"/>
        <w:rPr>
          <w:rFonts w:ascii="宋体" w:hAnsi="宋体" w:cs="宋体"/>
          <w:szCs w:val="21"/>
        </w:rPr>
      </w:pPr>
      <w:r>
        <w:rPr>
          <w:rFonts w:hint="eastAsia" w:ascii="宋体" w:hAnsi="宋体" w:cs="宋体"/>
          <w:szCs w:val="21"/>
        </w:rPr>
        <w:t xml:space="preserve"> </w:t>
      </w:r>
    </w:p>
    <w:p w14:paraId="78B46354">
      <w:pPr>
        <w:tabs>
          <w:tab w:val="left" w:pos="3855"/>
        </w:tabs>
        <w:spacing w:line="360" w:lineRule="auto"/>
        <w:rPr>
          <w:rFonts w:ascii="宋体" w:hAnsi="宋体" w:cs="宋体"/>
          <w:szCs w:val="21"/>
        </w:rPr>
      </w:pPr>
      <w:r>
        <w:rPr>
          <w:rFonts w:hint="eastAsia" w:ascii="宋体" w:hAnsi="宋体" w:cs="宋体"/>
          <w:szCs w:val="21"/>
        </w:rPr>
        <w:t xml:space="preserve">式中： △P </w:t>
      </w:r>
      <w:r>
        <w:rPr>
          <w:rFonts w:ascii="宋体" w:hAnsi="宋体" w:cs="宋体"/>
          <w:szCs w:val="21"/>
        </w:rPr>
        <w:t>–</w:t>
      </w:r>
      <w:r>
        <w:rPr>
          <w:rFonts w:hint="eastAsia" w:ascii="宋体" w:hAnsi="宋体" w:cs="宋体"/>
          <w:szCs w:val="21"/>
        </w:rPr>
        <w:t xml:space="preserve"> 需调整的价格差额；</w:t>
      </w:r>
    </w:p>
    <w:p w14:paraId="3B538F11">
      <w:pPr>
        <w:tabs>
          <w:tab w:val="left" w:pos="3855"/>
        </w:tabs>
        <w:spacing w:line="360" w:lineRule="auto"/>
        <w:ind w:firstLine="840" w:firstLineChars="400"/>
        <w:rPr>
          <w:rFonts w:ascii="宋体" w:hAnsi="宋体" w:cs="宋体"/>
          <w:szCs w:val="21"/>
        </w:rPr>
      </w:pPr>
      <w:r>
        <w:rPr>
          <w:rFonts w:hint="eastAsia" w:ascii="宋体" w:hAnsi="宋体" w:cs="宋体"/>
          <w:szCs w:val="21"/>
        </w:rPr>
        <w:t xml:space="preserve">P0 </w:t>
      </w:r>
      <w:r>
        <w:rPr>
          <w:rFonts w:ascii="宋体" w:hAnsi="宋体" w:cs="宋体"/>
          <w:szCs w:val="21"/>
        </w:rPr>
        <w:t>–</w:t>
      </w:r>
      <w:r>
        <w:rPr>
          <w:rFonts w:hint="eastAsia" w:ascii="宋体" w:hAnsi="宋体" w:cs="宋体"/>
          <w:szCs w:val="21"/>
        </w:rPr>
        <w:t xml:space="preserve"> 第17.3.3项、第17.5.3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0FA45B44">
      <w:pPr>
        <w:tabs>
          <w:tab w:val="left" w:pos="3855"/>
        </w:tabs>
        <w:spacing w:line="360" w:lineRule="auto"/>
        <w:ind w:firstLine="840" w:firstLineChars="400"/>
        <w:rPr>
          <w:rFonts w:ascii="宋体" w:hAnsi="宋体" w:cs="宋体"/>
          <w:szCs w:val="21"/>
        </w:rPr>
      </w:pPr>
      <w:bookmarkStart w:id="1877" w:name="_Toc152042495"/>
      <w:bookmarkStart w:id="1878" w:name="_Toc144974686"/>
      <w:r>
        <w:rPr>
          <w:rFonts w:hint="eastAsia" w:ascii="宋体" w:hAnsi="宋体" w:cs="宋体"/>
          <w:szCs w:val="21"/>
        </w:rPr>
        <w:t xml:space="preserve">A </w:t>
      </w:r>
      <w:r>
        <w:rPr>
          <w:rFonts w:ascii="宋体" w:hAnsi="宋体" w:cs="宋体"/>
          <w:szCs w:val="21"/>
        </w:rPr>
        <w:t>–</w:t>
      </w:r>
      <w:r>
        <w:rPr>
          <w:rFonts w:hint="eastAsia" w:ascii="宋体" w:hAnsi="宋体" w:cs="宋体"/>
          <w:szCs w:val="21"/>
        </w:rPr>
        <w:t xml:space="preserve"> 定值权重(即不调部分的权重)；</w:t>
      </w:r>
      <w:bookmarkEnd w:id="1877"/>
      <w:bookmarkEnd w:id="1878"/>
    </w:p>
    <w:p w14:paraId="2F4DFC3F">
      <w:pPr>
        <w:tabs>
          <w:tab w:val="left" w:pos="3855"/>
        </w:tabs>
        <w:spacing w:line="360" w:lineRule="auto"/>
        <w:ind w:firstLine="840" w:firstLineChars="400"/>
        <w:rPr>
          <w:rFonts w:ascii="宋体" w:hAnsi="宋体" w:cs="宋体"/>
          <w:szCs w:val="21"/>
        </w:rPr>
      </w:pPr>
      <w:r>
        <w:rPr>
          <w:rFonts w:hint="eastAsia" w:ascii="宋体" w:hAnsi="宋体" w:cs="宋体"/>
          <w:szCs w:val="21"/>
        </w:rPr>
        <w:t xml:space="preserve">B1; B2 ;B3·····Bn </w:t>
      </w:r>
      <w:r>
        <w:rPr>
          <w:rFonts w:ascii="宋体" w:hAnsi="宋体" w:cs="宋体"/>
          <w:szCs w:val="21"/>
        </w:rPr>
        <w:t>–</w:t>
      </w:r>
      <w:r>
        <w:rPr>
          <w:rFonts w:hint="eastAsia" w:ascii="宋体" w:hAnsi="宋体" w:cs="宋体"/>
          <w:szCs w:val="21"/>
        </w:rPr>
        <w:t xml:space="preserve"> 各可调因子的变值权重(即可调部分的权重)为各可调因子在投标函投标总报价中所占的比例；</w:t>
      </w:r>
    </w:p>
    <w:p w14:paraId="5DD2CDBC">
      <w:pPr>
        <w:tabs>
          <w:tab w:val="left" w:pos="3855"/>
        </w:tabs>
        <w:spacing w:line="360" w:lineRule="auto"/>
        <w:ind w:firstLine="840" w:firstLineChars="400"/>
        <w:rPr>
          <w:rFonts w:ascii="宋体" w:hAnsi="宋体" w:cs="宋体"/>
          <w:szCs w:val="21"/>
        </w:rPr>
      </w:pPr>
      <w:r>
        <w:rPr>
          <w:rFonts w:hint="eastAsia" w:ascii="宋体" w:hAnsi="宋体" w:cs="宋体"/>
          <w:szCs w:val="21"/>
        </w:rPr>
        <w:t xml:space="preserve">Ft1 ;Ft2 ;Ft3·····Ftn </w:t>
      </w:r>
      <w:r>
        <w:rPr>
          <w:rFonts w:ascii="宋体" w:hAnsi="宋体" w:cs="宋体"/>
          <w:szCs w:val="21"/>
        </w:rPr>
        <w:t>–</w:t>
      </w:r>
      <w:r>
        <w:rPr>
          <w:rFonts w:hint="eastAsia" w:ascii="宋体" w:hAnsi="宋体" w:cs="宋体"/>
          <w:szCs w:val="21"/>
        </w:rPr>
        <w:t xml:space="preserve"> 各可调因子的现行价格指数，指第17.3.3项、第17.5.3项和第17.6.2项约定的付款证书相关周期最后一天的前42天的各可调因子的价格指数；</w:t>
      </w:r>
    </w:p>
    <w:p w14:paraId="7B2B7EC2">
      <w:pPr>
        <w:tabs>
          <w:tab w:val="left" w:pos="3855"/>
        </w:tabs>
        <w:spacing w:line="360" w:lineRule="auto"/>
        <w:ind w:firstLine="840" w:firstLineChars="400"/>
        <w:rPr>
          <w:rFonts w:ascii="宋体" w:hAnsi="宋体" w:cs="宋体"/>
          <w:szCs w:val="21"/>
        </w:rPr>
      </w:pPr>
      <w:r>
        <w:rPr>
          <w:rFonts w:hint="eastAsia" w:ascii="宋体" w:hAnsi="宋体" w:cs="宋体"/>
          <w:szCs w:val="21"/>
        </w:rPr>
        <w:t xml:space="preserve">Fo1; Fo2; Fo3·····Fon </w:t>
      </w:r>
      <w:r>
        <w:rPr>
          <w:rFonts w:ascii="宋体" w:hAnsi="宋体" w:cs="宋体"/>
          <w:szCs w:val="21"/>
        </w:rPr>
        <w:t>–</w:t>
      </w:r>
      <w:r>
        <w:rPr>
          <w:rFonts w:hint="eastAsia" w:ascii="宋体" w:hAnsi="宋体" w:cs="宋体"/>
          <w:szCs w:val="21"/>
        </w:rPr>
        <w:t xml:space="preserve"> 各可调因子的基本价格指数，指基准日期的各可调因子的价格指数。</w:t>
      </w:r>
    </w:p>
    <w:p w14:paraId="4EAAD408">
      <w:pPr>
        <w:tabs>
          <w:tab w:val="left" w:pos="3855"/>
        </w:tabs>
        <w:spacing w:line="360" w:lineRule="auto"/>
        <w:rPr>
          <w:rFonts w:ascii="宋体" w:hAnsi="宋体" w:cs="宋体"/>
          <w:szCs w:val="21"/>
        </w:rPr>
      </w:pPr>
      <w:r>
        <w:rPr>
          <w:rFonts w:hint="eastAsia" w:ascii="宋体" w:hAnsi="宋体" w:cs="宋体"/>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0A9524FB">
      <w:pPr>
        <w:tabs>
          <w:tab w:val="left" w:pos="3855"/>
        </w:tabs>
        <w:spacing w:line="360" w:lineRule="auto"/>
        <w:outlineLvl w:val="3"/>
        <w:rPr>
          <w:rFonts w:ascii="宋体" w:hAnsi="宋体" w:cs="宋体"/>
          <w:szCs w:val="21"/>
        </w:rPr>
      </w:pPr>
      <w:r>
        <w:rPr>
          <w:rFonts w:hint="eastAsia" w:ascii="宋体" w:hAnsi="宋体" w:cs="宋体"/>
          <w:szCs w:val="21"/>
        </w:rPr>
        <w:t>16.1.1.2 暂时确定调整差额</w:t>
      </w:r>
    </w:p>
    <w:p w14:paraId="16B85E25">
      <w:pPr>
        <w:tabs>
          <w:tab w:val="left" w:pos="3855"/>
        </w:tabs>
        <w:spacing w:line="360" w:lineRule="auto"/>
        <w:rPr>
          <w:rFonts w:ascii="宋体" w:hAnsi="宋体" w:cs="宋体"/>
          <w:szCs w:val="21"/>
        </w:rPr>
      </w:pPr>
      <w:r>
        <w:rPr>
          <w:rFonts w:hint="eastAsia" w:ascii="宋体" w:hAnsi="宋体" w:cs="宋体"/>
          <w:szCs w:val="21"/>
        </w:rPr>
        <w:t>在计算调整差额时得不到现行价格指数的，可暂用上一次价格指数计算，并在以后的付款中再按实际价格指数进行调整。</w:t>
      </w:r>
    </w:p>
    <w:p w14:paraId="3A006452">
      <w:pPr>
        <w:tabs>
          <w:tab w:val="left" w:pos="3855"/>
        </w:tabs>
        <w:spacing w:line="360" w:lineRule="auto"/>
        <w:outlineLvl w:val="3"/>
        <w:rPr>
          <w:rFonts w:ascii="宋体" w:hAnsi="宋体" w:cs="宋体"/>
          <w:szCs w:val="21"/>
        </w:rPr>
      </w:pPr>
      <w:bookmarkStart w:id="1879" w:name="_Toc429569375"/>
      <w:r>
        <w:rPr>
          <w:rFonts w:hint="eastAsia" w:ascii="宋体" w:hAnsi="宋体" w:cs="宋体"/>
          <w:szCs w:val="21"/>
        </w:rPr>
        <w:t>16.1.1.3 权重的调整</w:t>
      </w:r>
      <w:bookmarkEnd w:id="1879"/>
    </w:p>
    <w:p w14:paraId="3C155E14">
      <w:pPr>
        <w:tabs>
          <w:tab w:val="left" w:pos="3855"/>
        </w:tabs>
        <w:spacing w:line="360" w:lineRule="auto"/>
        <w:rPr>
          <w:rFonts w:ascii="宋体" w:hAnsi="宋体" w:cs="宋体"/>
          <w:szCs w:val="21"/>
        </w:rPr>
      </w:pPr>
      <w:r>
        <w:rPr>
          <w:rFonts w:hint="eastAsia" w:ascii="宋体" w:hAnsi="宋体" w:cs="宋体"/>
          <w:szCs w:val="21"/>
        </w:rPr>
        <w:t>按第15.1款约定的变更导致原定合同中的权重不合理时，由监理人与承包人和发包人协商后进行调整。</w:t>
      </w:r>
    </w:p>
    <w:p w14:paraId="1AC6F943">
      <w:pPr>
        <w:tabs>
          <w:tab w:val="left" w:pos="3855"/>
        </w:tabs>
        <w:spacing w:line="360" w:lineRule="auto"/>
        <w:outlineLvl w:val="3"/>
        <w:rPr>
          <w:rFonts w:ascii="宋体" w:hAnsi="宋体" w:cs="宋体"/>
          <w:szCs w:val="21"/>
        </w:rPr>
      </w:pPr>
      <w:r>
        <w:rPr>
          <w:rFonts w:hint="eastAsia" w:ascii="宋体" w:hAnsi="宋体" w:cs="宋体"/>
          <w:szCs w:val="21"/>
        </w:rPr>
        <w:t>16.1.1.4 承包人工期延误后的价格调整</w:t>
      </w:r>
    </w:p>
    <w:p w14:paraId="5E554A91">
      <w:pPr>
        <w:tabs>
          <w:tab w:val="left" w:pos="3855"/>
        </w:tabs>
        <w:spacing w:line="360" w:lineRule="auto"/>
        <w:rPr>
          <w:rFonts w:ascii="宋体" w:hAnsi="宋体" w:cs="宋体"/>
          <w:szCs w:val="21"/>
        </w:rPr>
      </w:pPr>
      <w:r>
        <w:rPr>
          <w:rFonts w:hint="eastAsia" w:ascii="宋体" w:hAnsi="宋体" w:cs="宋体"/>
          <w:szCs w:val="21"/>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091A849B">
      <w:pPr>
        <w:tabs>
          <w:tab w:val="left" w:pos="3855"/>
        </w:tabs>
        <w:spacing w:line="360" w:lineRule="auto"/>
        <w:outlineLvl w:val="2"/>
        <w:rPr>
          <w:rFonts w:ascii="宋体" w:hAnsi="宋体" w:cs="宋体"/>
          <w:szCs w:val="21"/>
        </w:rPr>
      </w:pPr>
      <w:r>
        <w:rPr>
          <w:rFonts w:hint="eastAsia" w:ascii="宋体" w:hAnsi="宋体" w:cs="宋体"/>
          <w:szCs w:val="21"/>
        </w:rPr>
        <w:t>16.1.2  采用造价信息调整价格差额</w:t>
      </w:r>
    </w:p>
    <w:p w14:paraId="595DDF4F">
      <w:pPr>
        <w:tabs>
          <w:tab w:val="left" w:pos="3855"/>
        </w:tabs>
        <w:spacing w:line="360" w:lineRule="auto"/>
        <w:rPr>
          <w:rFonts w:ascii="宋体" w:hAnsi="宋体" w:cs="宋体"/>
          <w:szCs w:val="21"/>
        </w:rPr>
      </w:pPr>
      <w:r>
        <w:rPr>
          <w:rFonts w:hint="eastAsia" w:ascii="宋体" w:hAnsi="宋体" w:cs="宋体"/>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14:paraId="014CD1F7">
      <w:pPr>
        <w:tabs>
          <w:tab w:val="left" w:pos="3855"/>
        </w:tabs>
        <w:spacing w:line="360" w:lineRule="auto"/>
        <w:outlineLvl w:val="3"/>
        <w:rPr>
          <w:rFonts w:ascii="宋体" w:hAnsi="宋体" w:cs="宋体"/>
          <w:szCs w:val="21"/>
        </w:rPr>
      </w:pPr>
      <w:r>
        <w:rPr>
          <w:rFonts w:hint="eastAsia" w:ascii="宋体" w:hAnsi="宋体" w:cs="宋体"/>
          <w:szCs w:val="21"/>
        </w:rPr>
        <w:t>16.1.2.1  引起价格调整的物价波动风险范围及幅度</w:t>
      </w:r>
    </w:p>
    <w:p w14:paraId="7B1F924C">
      <w:pPr>
        <w:tabs>
          <w:tab w:val="left" w:pos="3855"/>
        </w:tabs>
        <w:spacing w:line="360" w:lineRule="auto"/>
        <w:rPr>
          <w:rFonts w:ascii="宋体" w:hAnsi="宋体" w:cs="宋体"/>
          <w:szCs w:val="21"/>
        </w:rPr>
      </w:pPr>
      <w:r>
        <w:rPr>
          <w:rFonts w:hint="eastAsia" w:ascii="宋体" w:hAnsi="宋体" w:cs="宋体"/>
          <w:szCs w:val="21"/>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14:paraId="053C55D7">
      <w:pPr>
        <w:tabs>
          <w:tab w:val="left" w:pos="3855"/>
        </w:tabs>
        <w:spacing w:line="360" w:lineRule="auto"/>
        <w:outlineLvl w:val="3"/>
        <w:rPr>
          <w:rFonts w:ascii="宋体" w:hAnsi="宋体" w:cs="宋体"/>
          <w:szCs w:val="21"/>
        </w:rPr>
      </w:pPr>
      <w:r>
        <w:rPr>
          <w:rFonts w:hint="eastAsia" w:ascii="宋体" w:hAnsi="宋体" w:cs="宋体"/>
          <w:szCs w:val="21"/>
        </w:rPr>
        <w:t>16.1.2.2  物价波动变化幅度的计算方法</w:t>
      </w:r>
    </w:p>
    <w:p w14:paraId="76B5CB3B">
      <w:pPr>
        <w:tabs>
          <w:tab w:val="left" w:pos="3855"/>
        </w:tabs>
        <w:spacing w:line="360" w:lineRule="auto"/>
        <w:rPr>
          <w:rFonts w:ascii="宋体" w:hAnsi="宋体" w:cs="宋体"/>
          <w:szCs w:val="21"/>
        </w:rPr>
      </w:pPr>
      <w:r>
        <w:rPr>
          <w:rFonts w:hint="eastAsia" w:ascii="宋体" w:hAnsi="宋体" w:cs="宋体"/>
          <w:szCs w:val="21"/>
        </w:rPr>
        <w:t>（1）投标报价基准期确定的人工、材料、设备和机械台班的市场价格即为基准价。投标报价基准期见合同条款专用部分。</w:t>
      </w:r>
    </w:p>
    <w:p w14:paraId="37428421">
      <w:pPr>
        <w:tabs>
          <w:tab w:val="left" w:pos="3855"/>
        </w:tabs>
        <w:spacing w:line="360" w:lineRule="auto"/>
        <w:rPr>
          <w:rFonts w:ascii="宋体" w:hAnsi="宋体" w:cs="宋体"/>
          <w:szCs w:val="21"/>
        </w:rPr>
      </w:pPr>
      <w:r>
        <w:rPr>
          <w:rFonts w:hint="eastAsia" w:ascii="宋体" w:hAnsi="宋体" w:cs="宋体"/>
          <w:szCs w:val="21"/>
        </w:rPr>
        <w:t>（2）《北京工程造价信息》中工程造价信息价有的，以北京市建设工程造价管理机构发布的《北京工程造价信息》中的工程造价信息价（以下简称造价信息价格）为依据确定基准价，造价信息价格中有上、下限的，以下限为准；《北京工程造价信息》工程造价信息价中没有的，确定基准价的方法见合同条款专用部分。</w:t>
      </w:r>
    </w:p>
    <w:p w14:paraId="0DD3BCD5">
      <w:pPr>
        <w:tabs>
          <w:tab w:val="left" w:pos="3855"/>
        </w:tabs>
        <w:spacing w:line="360" w:lineRule="auto"/>
        <w:rPr>
          <w:rFonts w:ascii="宋体" w:hAnsi="宋体" w:cs="宋体"/>
          <w:szCs w:val="21"/>
        </w:rPr>
      </w:pPr>
      <w:r>
        <w:rPr>
          <w:rFonts w:hint="eastAsia" w:ascii="宋体" w:hAnsi="宋体" w:cs="宋体"/>
          <w:szCs w:val="21"/>
        </w:rPr>
        <w:t>（3）合同履行期间价格的确定方法见合同条款专用部分。</w:t>
      </w:r>
    </w:p>
    <w:p w14:paraId="0EFFFEDD">
      <w:pPr>
        <w:tabs>
          <w:tab w:val="left" w:pos="3855"/>
        </w:tabs>
        <w:spacing w:line="360" w:lineRule="auto"/>
        <w:rPr>
          <w:rFonts w:ascii="宋体" w:hAnsi="宋体" w:cs="宋体"/>
          <w:szCs w:val="21"/>
        </w:rPr>
      </w:pPr>
      <w:r>
        <w:rPr>
          <w:rFonts w:hint="eastAsia" w:ascii="宋体" w:hAnsi="宋体" w:cs="宋体"/>
          <w:szCs w:val="21"/>
        </w:rPr>
        <w:t>（4）物价波动变化幅度的计算方法见合同条款专用部分。</w:t>
      </w:r>
    </w:p>
    <w:p w14:paraId="0DE122B4">
      <w:pPr>
        <w:tabs>
          <w:tab w:val="left" w:pos="3855"/>
        </w:tabs>
        <w:spacing w:line="360" w:lineRule="auto"/>
        <w:outlineLvl w:val="3"/>
        <w:rPr>
          <w:rFonts w:ascii="宋体" w:hAnsi="宋体" w:cs="宋体"/>
          <w:szCs w:val="21"/>
        </w:rPr>
      </w:pPr>
      <w:r>
        <w:rPr>
          <w:rFonts w:hint="eastAsia" w:ascii="宋体" w:hAnsi="宋体" w:cs="宋体"/>
          <w:szCs w:val="21"/>
        </w:rPr>
        <w:t>16.1.2.3  物价波动引起价格调整的方法</w:t>
      </w:r>
    </w:p>
    <w:p w14:paraId="10FD12A2">
      <w:pPr>
        <w:tabs>
          <w:tab w:val="left" w:pos="3855"/>
        </w:tabs>
        <w:spacing w:line="360" w:lineRule="auto"/>
        <w:rPr>
          <w:rFonts w:ascii="宋体" w:hAnsi="宋体" w:cs="宋体"/>
          <w:szCs w:val="21"/>
        </w:rPr>
      </w:pPr>
      <w:r>
        <w:rPr>
          <w:rFonts w:hint="eastAsia" w:ascii="宋体" w:hAnsi="宋体" w:cs="宋体"/>
          <w:szCs w:val="21"/>
        </w:rPr>
        <w:t>（1）第16.1.2.1目中约定的人工、材料、设备和机械台班的物价波动变化幅度超过风险幅度时，价格调整方法见合同条款专用部分。</w:t>
      </w:r>
    </w:p>
    <w:p w14:paraId="57C09004">
      <w:pPr>
        <w:tabs>
          <w:tab w:val="left" w:pos="3855"/>
        </w:tabs>
        <w:spacing w:line="360" w:lineRule="auto"/>
        <w:rPr>
          <w:rFonts w:ascii="宋体" w:hAnsi="宋体" w:cs="宋体"/>
          <w:szCs w:val="21"/>
        </w:rPr>
      </w:pPr>
      <w:r>
        <w:rPr>
          <w:rFonts w:hint="eastAsia" w:ascii="宋体" w:hAnsi="宋体" w:cs="宋体"/>
          <w:szCs w:val="21"/>
        </w:rPr>
        <w:t>（2）第16.1.2.1目中约定的人工的物价波动变化幅度超过风险幅度时，应当计算全部价格差额，其价格差额由发包人承担或受益，其价格差额只计取税金。</w:t>
      </w:r>
    </w:p>
    <w:p w14:paraId="1161C804">
      <w:pPr>
        <w:tabs>
          <w:tab w:val="left" w:pos="3855"/>
        </w:tabs>
        <w:spacing w:line="360" w:lineRule="auto"/>
        <w:rPr>
          <w:rFonts w:ascii="宋体" w:hAnsi="宋体" w:cs="宋体"/>
          <w:szCs w:val="21"/>
        </w:rPr>
      </w:pPr>
      <w:r>
        <w:rPr>
          <w:rFonts w:hint="eastAsia" w:ascii="宋体" w:hAnsi="宋体" w:cs="宋体"/>
          <w:szCs w:val="21"/>
        </w:rPr>
        <w:t>（3）第16.1.2.1目中约定的材料、设备和机械台班的物价波动变化幅度超过风险幅度时，应当计算超过部分的价格差额，其价格差额由发包人承担或受益，其价格差额只计取税金。</w:t>
      </w:r>
    </w:p>
    <w:p w14:paraId="6F42FDC5">
      <w:pPr>
        <w:tabs>
          <w:tab w:val="left" w:pos="3855"/>
        </w:tabs>
        <w:spacing w:line="360" w:lineRule="auto"/>
        <w:outlineLvl w:val="3"/>
        <w:rPr>
          <w:rFonts w:ascii="宋体" w:hAnsi="宋体" w:cs="宋体"/>
          <w:szCs w:val="21"/>
        </w:rPr>
      </w:pPr>
      <w:r>
        <w:rPr>
          <w:rFonts w:hint="eastAsia" w:ascii="宋体" w:hAnsi="宋体" w:cs="宋体"/>
          <w:szCs w:val="21"/>
        </w:rPr>
        <w:t>16.1.2.4  物价波动引起价格调整的其他约定见合同条款专用部分。</w:t>
      </w:r>
    </w:p>
    <w:p w14:paraId="780E50DF">
      <w:pPr>
        <w:tabs>
          <w:tab w:val="left" w:pos="3855"/>
        </w:tabs>
        <w:spacing w:line="360" w:lineRule="auto"/>
        <w:outlineLvl w:val="2"/>
        <w:rPr>
          <w:rFonts w:ascii="宋体" w:hAnsi="宋体" w:cs="宋体"/>
          <w:szCs w:val="21"/>
        </w:rPr>
      </w:pPr>
      <w:r>
        <w:rPr>
          <w:rFonts w:hint="eastAsia" w:ascii="宋体" w:hAnsi="宋体" w:cs="宋体"/>
          <w:szCs w:val="21"/>
        </w:rPr>
        <w:t>16.1.3  物价波动引起价格调整的其他方法见合同条款专用部分。</w:t>
      </w:r>
    </w:p>
    <w:p w14:paraId="584160D7">
      <w:pPr>
        <w:tabs>
          <w:tab w:val="left" w:pos="3855"/>
        </w:tabs>
        <w:spacing w:line="360" w:lineRule="auto"/>
        <w:outlineLvl w:val="1"/>
        <w:rPr>
          <w:rFonts w:ascii="宋体" w:hAnsi="宋体" w:cs="宋体"/>
          <w:szCs w:val="21"/>
        </w:rPr>
      </w:pPr>
      <w:bookmarkStart w:id="1880" w:name="_Toc490222600"/>
      <w:bookmarkStart w:id="1881" w:name="_Toc480486837"/>
      <w:bookmarkStart w:id="1882" w:name="_Toc342296368"/>
      <w:bookmarkStart w:id="1883" w:name="_Toc152042496"/>
      <w:bookmarkStart w:id="1884" w:name="_Toc117350524"/>
      <w:bookmarkStart w:id="1885" w:name="_Toc152045717"/>
      <w:bookmarkStart w:id="1886" w:name="_Toc179632735"/>
      <w:bookmarkStart w:id="1887" w:name="_Toc480487009"/>
      <w:bookmarkStart w:id="1888" w:name="_Toc144974688"/>
      <w:bookmarkStart w:id="1889" w:name="_Toc338944810"/>
      <w:bookmarkStart w:id="1890" w:name="_Toc486580155"/>
      <w:bookmarkStart w:id="1891" w:name="_Toc489279966"/>
      <w:bookmarkStart w:id="1892" w:name="_Toc483668184"/>
      <w:r>
        <w:rPr>
          <w:rFonts w:hint="eastAsia" w:ascii="宋体" w:hAnsi="宋体" w:cs="宋体"/>
          <w:szCs w:val="21"/>
        </w:rPr>
        <w:t>16.2  法律变化引起的价格调整</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14:paraId="5F2CEC40">
      <w:pPr>
        <w:tabs>
          <w:tab w:val="left" w:pos="3855"/>
        </w:tabs>
        <w:spacing w:line="360" w:lineRule="auto"/>
        <w:rPr>
          <w:rFonts w:ascii="宋体" w:hAnsi="宋体" w:cs="宋体"/>
          <w:szCs w:val="21"/>
        </w:rPr>
      </w:pPr>
      <w:r>
        <w:rPr>
          <w:rFonts w:hint="eastAsia" w:ascii="宋体" w:hAnsi="宋体" w:cs="宋体"/>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59702C6A">
      <w:pPr>
        <w:tabs>
          <w:tab w:val="left" w:pos="3855"/>
        </w:tabs>
        <w:spacing w:line="360" w:lineRule="auto"/>
        <w:outlineLvl w:val="0"/>
        <w:rPr>
          <w:rFonts w:ascii="宋体" w:hAnsi="宋体" w:cs="宋体"/>
          <w:szCs w:val="21"/>
        </w:rPr>
      </w:pPr>
      <w:r>
        <w:rPr>
          <w:rFonts w:hint="eastAsia" w:ascii="宋体" w:hAnsi="宋体" w:cs="宋体"/>
          <w:szCs w:val="21"/>
        </w:rPr>
        <w:t>17.计量与支付</w:t>
      </w:r>
      <w:bookmarkEnd w:id="1858"/>
      <w:bookmarkEnd w:id="1859"/>
      <w:bookmarkEnd w:id="1860"/>
      <w:bookmarkEnd w:id="1861"/>
      <w:bookmarkEnd w:id="1862"/>
      <w:bookmarkEnd w:id="1863"/>
      <w:bookmarkEnd w:id="1864"/>
      <w:bookmarkEnd w:id="1865"/>
      <w:bookmarkEnd w:id="1866"/>
    </w:p>
    <w:p w14:paraId="3F64BE31">
      <w:pPr>
        <w:tabs>
          <w:tab w:val="left" w:pos="3855"/>
        </w:tabs>
        <w:spacing w:line="360" w:lineRule="auto"/>
        <w:outlineLvl w:val="1"/>
        <w:rPr>
          <w:rFonts w:ascii="宋体" w:hAnsi="宋体" w:cs="宋体"/>
          <w:szCs w:val="21"/>
        </w:rPr>
      </w:pPr>
      <w:bookmarkStart w:id="1893" w:name="_Toc486580157"/>
      <w:bookmarkStart w:id="1894" w:name="_Toc497456547"/>
      <w:bookmarkStart w:id="1895" w:name="_Toc490222602"/>
      <w:bookmarkStart w:id="1896" w:name="_Toc480486839"/>
      <w:bookmarkStart w:id="1897" w:name="_Toc480487011"/>
      <w:bookmarkStart w:id="1898" w:name="_Toc483668186"/>
      <w:bookmarkStart w:id="1899" w:name="_Toc342296370"/>
      <w:bookmarkStart w:id="1900" w:name="_Toc338944812"/>
      <w:bookmarkStart w:id="1901" w:name="_Toc489279968"/>
      <w:r>
        <w:rPr>
          <w:rFonts w:hint="eastAsia" w:ascii="宋体" w:hAnsi="宋体" w:cs="宋体"/>
          <w:szCs w:val="21"/>
        </w:rPr>
        <w:t>17.1  计量</w:t>
      </w:r>
      <w:bookmarkEnd w:id="1893"/>
      <w:bookmarkEnd w:id="1894"/>
      <w:bookmarkEnd w:id="1895"/>
      <w:bookmarkEnd w:id="1896"/>
      <w:bookmarkEnd w:id="1897"/>
      <w:bookmarkEnd w:id="1898"/>
      <w:bookmarkEnd w:id="1899"/>
      <w:bookmarkEnd w:id="1900"/>
      <w:bookmarkEnd w:id="1901"/>
    </w:p>
    <w:p w14:paraId="16E135EB">
      <w:pPr>
        <w:tabs>
          <w:tab w:val="left" w:pos="3855"/>
        </w:tabs>
        <w:spacing w:line="360" w:lineRule="auto"/>
        <w:outlineLvl w:val="2"/>
        <w:rPr>
          <w:rFonts w:ascii="宋体" w:hAnsi="宋体" w:cs="宋体"/>
          <w:szCs w:val="21"/>
        </w:rPr>
      </w:pPr>
      <w:r>
        <w:rPr>
          <w:rFonts w:hint="eastAsia" w:ascii="宋体" w:hAnsi="宋体" w:cs="宋体"/>
          <w:szCs w:val="21"/>
        </w:rPr>
        <w:t>17.1.1  计量单位</w:t>
      </w:r>
    </w:p>
    <w:p w14:paraId="58DE4339">
      <w:pPr>
        <w:tabs>
          <w:tab w:val="left" w:pos="3855"/>
        </w:tabs>
        <w:spacing w:line="360" w:lineRule="auto"/>
        <w:rPr>
          <w:rFonts w:ascii="宋体" w:hAnsi="宋体" w:cs="宋体"/>
          <w:szCs w:val="21"/>
        </w:rPr>
      </w:pPr>
      <w:r>
        <w:rPr>
          <w:rFonts w:hint="eastAsia" w:ascii="宋体" w:hAnsi="宋体" w:cs="宋体"/>
          <w:szCs w:val="21"/>
        </w:rPr>
        <w:t>计量采用国家法定的计量单位。</w:t>
      </w:r>
    </w:p>
    <w:p w14:paraId="61C5CD27">
      <w:pPr>
        <w:pStyle w:val="272"/>
        <w:numPr>
          <w:ilvl w:val="0"/>
          <w:numId w:val="22"/>
        </w:numPr>
        <w:tabs>
          <w:tab w:val="left" w:pos="3855"/>
        </w:tabs>
        <w:spacing w:line="360" w:lineRule="auto"/>
        <w:ind w:firstLineChars="0"/>
        <w:outlineLvl w:val="2"/>
        <w:rPr>
          <w:rFonts w:ascii="宋体" w:hAnsi="宋体" w:cs="宋体"/>
          <w:szCs w:val="21"/>
        </w:rPr>
      </w:pPr>
      <w:r>
        <w:rPr>
          <w:rFonts w:hint="eastAsia" w:ascii="宋体" w:hAnsi="宋体" w:cs="宋体"/>
          <w:szCs w:val="21"/>
        </w:rPr>
        <w:t>计量方法</w:t>
      </w:r>
    </w:p>
    <w:p w14:paraId="7C5C3D23">
      <w:pPr>
        <w:tabs>
          <w:tab w:val="left" w:pos="3855"/>
        </w:tabs>
        <w:spacing w:line="360" w:lineRule="auto"/>
        <w:rPr>
          <w:rFonts w:ascii="宋体" w:hAnsi="宋体" w:cs="宋体"/>
          <w:szCs w:val="21"/>
        </w:rPr>
      </w:pPr>
      <w:r>
        <w:rPr>
          <w:rFonts w:hint="eastAsia" w:ascii="宋体" w:hAnsi="宋体" w:cs="宋体"/>
          <w:szCs w:val="21"/>
        </w:rPr>
        <w:t>工程量计算规则执行工程量清单中约定的计量计价规范版本。除合同另有约定外，承包人实际完成的工程量按约定的工程量计算规则和有合同约束力的图纸进行计量。</w:t>
      </w:r>
    </w:p>
    <w:p w14:paraId="79A25E19">
      <w:pPr>
        <w:tabs>
          <w:tab w:val="left" w:pos="3855"/>
        </w:tabs>
        <w:spacing w:line="360" w:lineRule="auto"/>
        <w:outlineLvl w:val="2"/>
        <w:rPr>
          <w:rFonts w:ascii="宋体" w:hAnsi="宋体" w:cs="宋体"/>
          <w:szCs w:val="21"/>
        </w:rPr>
      </w:pPr>
      <w:r>
        <w:rPr>
          <w:rFonts w:hint="eastAsia" w:ascii="宋体" w:hAnsi="宋体" w:cs="宋体"/>
          <w:szCs w:val="21"/>
        </w:rPr>
        <w:t>17.1.3  计量周期</w:t>
      </w:r>
    </w:p>
    <w:p w14:paraId="6500E4FC">
      <w:pPr>
        <w:tabs>
          <w:tab w:val="left" w:pos="3855"/>
        </w:tabs>
        <w:spacing w:line="360" w:lineRule="auto"/>
        <w:rPr>
          <w:rFonts w:ascii="宋体" w:hAnsi="宋体" w:cs="宋体"/>
          <w:szCs w:val="21"/>
        </w:rPr>
      </w:pPr>
      <w:r>
        <w:rPr>
          <w:rFonts w:hint="eastAsia" w:ascii="宋体" w:hAnsi="宋体" w:cs="宋体"/>
          <w:szCs w:val="21"/>
        </w:rPr>
        <w:t>（1）本合同的计量周期为月，当月计量截止日期（不含当日）和下月计量起始日期（含当日）见合同条款专用部分。</w:t>
      </w:r>
    </w:p>
    <w:p w14:paraId="6E5D73C8">
      <w:pPr>
        <w:tabs>
          <w:tab w:val="left" w:pos="3855"/>
        </w:tabs>
        <w:spacing w:line="360" w:lineRule="auto"/>
        <w:rPr>
          <w:rFonts w:ascii="宋体" w:hAnsi="宋体" w:cs="宋体"/>
          <w:szCs w:val="21"/>
        </w:rPr>
      </w:pPr>
      <w:r>
        <w:rPr>
          <w:rFonts w:hint="eastAsia" w:ascii="宋体" w:hAnsi="宋体" w:cs="宋体"/>
          <w:szCs w:val="21"/>
        </w:rPr>
        <w:t>（2）单价子目已完成工程量是否按月计量见合同条款专用部分。</w:t>
      </w:r>
    </w:p>
    <w:p w14:paraId="122FB080">
      <w:pPr>
        <w:tabs>
          <w:tab w:val="left" w:pos="3855"/>
        </w:tabs>
        <w:spacing w:line="360" w:lineRule="auto"/>
        <w:rPr>
          <w:rFonts w:ascii="宋体" w:hAnsi="宋体" w:cs="宋体"/>
          <w:szCs w:val="21"/>
        </w:rPr>
      </w:pPr>
      <w:r>
        <w:rPr>
          <w:rFonts w:hint="eastAsia" w:ascii="宋体" w:hAnsi="宋体" w:cs="宋体"/>
          <w:szCs w:val="21"/>
        </w:rPr>
        <w:t>（3）总价子目计量方法见合同条款专用部分。</w:t>
      </w:r>
    </w:p>
    <w:p w14:paraId="4A92E741">
      <w:pPr>
        <w:tabs>
          <w:tab w:val="left" w:pos="3855"/>
        </w:tabs>
        <w:spacing w:line="360" w:lineRule="auto"/>
        <w:outlineLvl w:val="2"/>
        <w:rPr>
          <w:rFonts w:ascii="宋体" w:hAnsi="宋体" w:cs="宋体"/>
          <w:szCs w:val="21"/>
        </w:rPr>
      </w:pPr>
      <w:r>
        <w:rPr>
          <w:rFonts w:hint="eastAsia" w:ascii="宋体" w:hAnsi="宋体" w:cs="宋体"/>
          <w:szCs w:val="21"/>
        </w:rPr>
        <w:t>17.1.4  单价子目的计量</w:t>
      </w:r>
    </w:p>
    <w:p w14:paraId="00BE90C5">
      <w:pPr>
        <w:tabs>
          <w:tab w:val="left" w:pos="3855"/>
        </w:tabs>
        <w:spacing w:line="360" w:lineRule="auto"/>
        <w:rPr>
          <w:rFonts w:ascii="宋体" w:hAnsi="宋体" w:cs="宋体"/>
          <w:szCs w:val="21"/>
        </w:rPr>
      </w:pPr>
      <w:r>
        <w:rPr>
          <w:rFonts w:hint="eastAsia" w:ascii="宋体" w:hAnsi="宋体" w:cs="宋体"/>
          <w:szCs w:val="21"/>
        </w:rPr>
        <w:t>（1）已标价工程量清单中的单价子目工程量为估算工程量。结算工程量是承包人实际完成的，并按合同约定的计量方法进行计量的工程量。</w:t>
      </w:r>
    </w:p>
    <w:p w14:paraId="29C4751D">
      <w:pPr>
        <w:tabs>
          <w:tab w:val="left" w:pos="3855"/>
        </w:tabs>
        <w:spacing w:line="360" w:lineRule="auto"/>
        <w:rPr>
          <w:rFonts w:ascii="宋体" w:hAnsi="宋体" w:cs="宋体"/>
          <w:szCs w:val="21"/>
        </w:rPr>
      </w:pPr>
      <w:r>
        <w:rPr>
          <w:rFonts w:hint="eastAsia" w:ascii="宋体" w:hAnsi="宋体" w:cs="宋体"/>
          <w:szCs w:val="21"/>
        </w:rPr>
        <w:t>（2）承包人对已完成的工程进行计量，向监理人提交进度付款申请单、已完成工程量报表和有关计量资料。</w:t>
      </w:r>
    </w:p>
    <w:p w14:paraId="70CD9F11">
      <w:pPr>
        <w:tabs>
          <w:tab w:val="left" w:pos="3855"/>
        </w:tabs>
        <w:spacing w:line="360" w:lineRule="auto"/>
        <w:rPr>
          <w:rFonts w:ascii="宋体" w:hAnsi="宋体" w:cs="宋体"/>
          <w:szCs w:val="21"/>
        </w:rPr>
      </w:pPr>
      <w:r>
        <w:rPr>
          <w:rFonts w:hint="eastAsia" w:ascii="宋体" w:hAnsi="宋体" w:cs="宋体"/>
          <w:szCs w:val="21"/>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1B5C4A19">
      <w:pPr>
        <w:tabs>
          <w:tab w:val="left" w:pos="3855"/>
        </w:tabs>
        <w:spacing w:line="360" w:lineRule="auto"/>
        <w:rPr>
          <w:rFonts w:ascii="宋体" w:hAnsi="宋体" w:cs="宋体"/>
          <w:szCs w:val="21"/>
        </w:rPr>
      </w:pPr>
      <w:r>
        <w:rPr>
          <w:rFonts w:hint="eastAsia" w:ascii="宋体" w:hAnsi="宋体" w:cs="宋体"/>
          <w:szCs w:val="21"/>
        </w:rPr>
        <w:t>（4）监理人认为有必要时，可通知承包人共同进行联合测量、计量，承包人应遵照执行。</w:t>
      </w:r>
    </w:p>
    <w:p w14:paraId="3E936724">
      <w:pPr>
        <w:tabs>
          <w:tab w:val="left" w:pos="3855"/>
        </w:tabs>
        <w:spacing w:line="360" w:lineRule="auto"/>
        <w:rPr>
          <w:rFonts w:ascii="宋体" w:hAnsi="宋体" w:cs="宋体"/>
          <w:szCs w:val="21"/>
        </w:rPr>
      </w:pPr>
      <w:r>
        <w:rPr>
          <w:rFonts w:hint="eastAsia" w:ascii="宋体" w:hAnsi="宋体" w:cs="宋体"/>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7E8A38D">
      <w:pPr>
        <w:tabs>
          <w:tab w:val="left" w:pos="3855"/>
        </w:tabs>
        <w:spacing w:line="360" w:lineRule="auto"/>
        <w:rPr>
          <w:rFonts w:ascii="宋体" w:hAnsi="宋体" w:cs="宋体"/>
          <w:szCs w:val="21"/>
        </w:rPr>
      </w:pPr>
      <w:r>
        <w:rPr>
          <w:rFonts w:hint="eastAsia" w:ascii="宋体" w:hAnsi="宋体" w:cs="宋体"/>
          <w:szCs w:val="21"/>
        </w:rPr>
        <w:t>（6）监理人应在收到承包人提交的工程量报表后的7天内进行复核，监理人未在约定时间内复核的，承包人提交的工程量报表中的工程量视为承包人实际完成的工程量，据此计算工程价款。</w:t>
      </w:r>
    </w:p>
    <w:p w14:paraId="72D71908">
      <w:pPr>
        <w:tabs>
          <w:tab w:val="left" w:pos="3855"/>
        </w:tabs>
        <w:spacing w:line="360" w:lineRule="auto"/>
        <w:outlineLvl w:val="2"/>
        <w:rPr>
          <w:rFonts w:ascii="宋体" w:hAnsi="宋体" w:cs="宋体"/>
          <w:szCs w:val="21"/>
        </w:rPr>
      </w:pPr>
      <w:r>
        <w:rPr>
          <w:rFonts w:hint="eastAsia" w:ascii="宋体" w:hAnsi="宋体" w:cs="宋体"/>
          <w:szCs w:val="21"/>
        </w:rPr>
        <w:t>17.1.5  总价子目的计量（适用于采用支付分解报告）</w:t>
      </w:r>
    </w:p>
    <w:p w14:paraId="40E84CAE">
      <w:pPr>
        <w:tabs>
          <w:tab w:val="left" w:pos="3855"/>
        </w:tabs>
        <w:spacing w:line="360" w:lineRule="auto"/>
        <w:rPr>
          <w:rFonts w:ascii="宋体" w:hAnsi="宋体" w:cs="宋体"/>
          <w:szCs w:val="21"/>
        </w:rPr>
      </w:pPr>
      <w:r>
        <w:rPr>
          <w:rFonts w:hint="eastAsia" w:ascii="宋体" w:hAnsi="宋体" w:cs="宋体"/>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14:paraId="2AD283F5">
      <w:pPr>
        <w:tabs>
          <w:tab w:val="left" w:pos="3855"/>
        </w:tabs>
        <w:spacing w:line="360" w:lineRule="auto"/>
        <w:rPr>
          <w:rFonts w:ascii="宋体" w:hAnsi="宋体" w:cs="宋体"/>
          <w:szCs w:val="21"/>
        </w:rPr>
      </w:pPr>
      <w:r>
        <w:rPr>
          <w:rFonts w:hint="eastAsia" w:ascii="宋体" w:hAnsi="宋体" w:cs="宋体"/>
          <w:szCs w:val="21"/>
        </w:rPr>
        <w:t>（1）总价子目的价格调整方法见合同条款专用部分。</w:t>
      </w:r>
    </w:p>
    <w:p w14:paraId="691D1230">
      <w:pPr>
        <w:tabs>
          <w:tab w:val="left" w:pos="3855"/>
        </w:tabs>
        <w:spacing w:line="360" w:lineRule="auto"/>
        <w:rPr>
          <w:rFonts w:ascii="宋体" w:hAnsi="宋体" w:cs="宋体"/>
          <w:szCs w:val="21"/>
        </w:rPr>
      </w:pPr>
      <w:r>
        <w:rPr>
          <w:rFonts w:hint="eastAsia" w:ascii="宋体" w:hAnsi="宋体" w:cs="宋体"/>
          <w:szCs w:val="21"/>
        </w:rPr>
        <w:t>（2）列入每月进度付款申请单中各总价子目的价值为有合同约束力的支付分解表中对应月份的总价子目总价值。</w:t>
      </w:r>
    </w:p>
    <w:p w14:paraId="1B4FA085">
      <w:pPr>
        <w:tabs>
          <w:tab w:val="left" w:pos="3855"/>
        </w:tabs>
        <w:spacing w:line="360" w:lineRule="auto"/>
        <w:rPr>
          <w:rFonts w:ascii="宋体" w:hAnsi="宋体" w:cs="宋体"/>
          <w:szCs w:val="21"/>
        </w:rPr>
      </w:pPr>
      <w:r>
        <w:rPr>
          <w:rFonts w:hint="eastAsia" w:ascii="宋体" w:hAnsi="宋体" w:cs="宋体"/>
          <w:szCs w:val="21"/>
        </w:rPr>
        <w:t>（3）监理人根据有合同约束力的支付分解表复核列入每月进度付款申请单中的总价子目的总价值。</w:t>
      </w:r>
    </w:p>
    <w:p w14:paraId="58CDC311">
      <w:pPr>
        <w:tabs>
          <w:tab w:val="left" w:pos="3855"/>
        </w:tabs>
        <w:spacing w:line="360" w:lineRule="auto"/>
        <w:rPr>
          <w:rFonts w:ascii="宋体" w:hAnsi="宋体" w:cs="宋体"/>
          <w:szCs w:val="21"/>
        </w:rPr>
      </w:pPr>
      <w:r>
        <w:rPr>
          <w:rFonts w:hint="eastAsia" w:ascii="宋体" w:hAnsi="宋体" w:cs="宋体"/>
          <w:szCs w:val="21"/>
        </w:rPr>
        <w:t>（4）除按照第15条约定的变更外，在竣工结算时总价子目的工程量不应当重新计量，签约合同价所基于的工程量即是用于竣工结算的最终工程量。</w:t>
      </w:r>
    </w:p>
    <w:p w14:paraId="68C13838">
      <w:pPr>
        <w:tabs>
          <w:tab w:val="left" w:pos="3855"/>
        </w:tabs>
        <w:spacing w:line="360" w:lineRule="auto"/>
        <w:outlineLvl w:val="2"/>
        <w:rPr>
          <w:rFonts w:ascii="宋体" w:hAnsi="宋体" w:cs="宋体"/>
          <w:szCs w:val="21"/>
        </w:rPr>
      </w:pPr>
      <w:r>
        <w:rPr>
          <w:rFonts w:hint="eastAsia" w:ascii="宋体" w:hAnsi="宋体" w:cs="宋体"/>
          <w:szCs w:val="21"/>
        </w:rPr>
        <w:t>17.1.6  总价子目的计量（适用于采用按实际完成工程量计量）</w:t>
      </w:r>
    </w:p>
    <w:p w14:paraId="57969C67">
      <w:pPr>
        <w:tabs>
          <w:tab w:val="left" w:pos="3855"/>
        </w:tabs>
        <w:spacing w:line="360" w:lineRule="auto"/>
        <w:rPr>
          <w:rFonts w:ascii="宋体" w:hAnsi="宋体" w:cs="宋体"/>
          <w:szCs w:val="21"/>
        </w:rPr>
      </w:pPr>
      <w:r>
        <w:rPr>
          <w:rFonts w:hint="eastAsia" w:ascii="宋体" w:hAnsi="宋体" w:cs="宋体"/>
          <w:szCs w:val="21"/>
        </w:rPr>
        <w:t>（1）总价子目的计量和支付应以总价为基础，对承包人实际完成的工程量进行计量，是进行工程目标管理和控制进度款支付的依据。总价子目的价格调整方法见合同条款专用部分。</w:t>
      </w:r>
    </w:p>
    <w:p w14:paraId="47FAF003">
      <w:pPr>
        <w:tabs>
          <w:tab w:val="left" w:pos="3855"/>
        </w:tabs>
        <w:spacing w:line="360" w:lineRule="auto"/>
        <w:rPr>
          <w:rFonts w:ascii="宋体" w:hAnsi="宋体" w:cs="宋体"/>
          <w:szCs w:val="21"/>
        </w:rPr>
      </w:pPr>
      <w:r>
        <w:rPr>
          <w:rFonts w:hint="eastAsia" w:ascii="宋体" w:hAnsi="宋体" w:cs="宋体"/>
          <w:szCs w:val="21"/>
        </w:rPr>
        <w:t>（2）承包人在合同条款专用部分第17.1.3（1）目约定的每月计量截止日期后，对已完成的分部分项工程和单价措施项目的子目，按照合同条款第17.1.2项约定的计量方法进行计量，对已完成的总价措施项目的相关子目，按其总价构成、费用性质和实际发生比例进行计量，向监理人提交进度付款申请单、已完成工程量报表和有关计量资料。</w:t>
      </w:r>
    </w:p>
    <w:p w14:paraId="00D67FB5">
      <w:pPr>
        <w:tabs>
          <w:tab w:val="left" w:pos="3855"/>
        </w:tabs>
        <w:spacing w:line="360" w:lineRule="auto"/>
        <w:rPr>
          <w:rFonts w:ascii="宋体" w:hAnsi="宋体" w:cs="宋体"/>
          <w:szCs w:val="21"/>
        </w:rPr>
      </w:pPr>
      <w:r>
        <w:rPr>
          <w:rFonts w:hint="eastAsia" w:ascii="宋体" w:hAnsi="宋体" w:cs="宋体"/>
          <w:szCs w:val="2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3FEDE359">
      <w:pPr>
        <w:tabs>
          <w:tab w:val="left" w:pos="3855"/>
        </w:tabs>
        <w:spacing w:line="360" w:lineRule="auto"/>
        <w:rPr>
          <w:rFonts w:ascii="宋体" w:hAnsi="宋体" w:cs="宋体"/>
          <w:szCs w:val="21"/>
        </w:rPr>
      </w:pPr>
      <w:r>
        <w:rPr>
          <w:rFonts w:hint="eastAsia" w:ascii="宋体" w:hAnsi="宋体" w:cs="宋体"/>
          <w:szCs w:val="21"/>
        </w:rPr>
        <w:t>（4）监理人应在收到承包人提交的工程量报表后的7天内进行复核，监理人未在约定时间内复核的，承包人提交的工程量报表中的工程量视为承包人实际完成的工程量，据此计算工程价款。</w:t>
      </w:r>
    </w:p>
    <w:p w14:paraId="2437A7B3">
      <w:pPr>
        <w:tabs>
          <w:tab w:val="left" w:pos="3855"/>
        </w:tabs>
        <w:spacing w:line="360" w:lineRule="auto"/>
        <w:rPr>
          <w:rFonts w:ascii="宋体" w:hAnsi="宋体" w:cs="宋体"/>
          <w:szCs w:val="21"/>
        </w:rPr>
      </w:pPr>
      <w:r>
        <w:rPr>
          <w:rFonts w:hint="eastAsia" w:ascii="宋体" w:hAnsi="宋体" w:cs="宋体"/>
          <w:szCs w:val="21"/>
        </w:rPr>
        <w:t>（5）除按照第15条约定的变更外，在竣工结算时总价子目的工程量不应当重新计量，签约合同价所基于的工程量即是用于竣工结算的最终工程量。</w:t>
      </w:r>
    </w:p>
    <w:p w14:paraId="06293F38">
      <w:pPr>
        <w:tabs>
          <w:tab w:val="left" w:pos="3855"/>
        </w:tabs>
        <w:spacing w:line="360" w:lineRule="auto"/>
        <w:outlineLvl w:val="1"/>
        <w:rPr>
          <w:rFonts w:ascii="宋体" w:hAnsi="宋体" w:cs="宋体"/>
          <w:szCs w:val="21"/>
        </w:rPr>
      </w:pPr>
      <w:bookmarkStart w:id="1902" w:name="_Toc483668187"/>
      <w:bookmarkStart w:id="1903" w:name="_Toc480487012"/>
      <w:bookmarkStart w:id="1904" w:name="_Toc486580158"/>
      <w:bookmarkStart w:id="1905" w:name="_Toc497456548"/>
      <w:bookmarkStart w:id="1906" w:name="_Toc490222603"/>
      <w:bookmarkStart w:id="1907" w:name="_Toc489279969"/>
      <w:bookmarkStart w:id="1908" w:name="_Toc338944813"/>
      <w:bookmarkStart w:id="1909" w:name="_Toc480486840"/>
      <w:bookmarkStart w:id="1910" w:name="_Toc342296371"/>
      <w:r>
        <w:rPr>
          <w:rFonts w:hint="eastAsia" w:ascii="宋体" w:hAnsi="宋体" w:cs="宋体"/>
          <w:szCs w:val="21"/>
        </w:rPr>
        <w:t>17.2  预付款</w:t>
      </w:r>
      <w:bookmarkEnd w:id="1902"/>
      <w:bookmarkEnd w:id="1903"/>
      <w:bookmarkEnd w:id="1904"/>
      <w:bookmarkEnd w:id="1905"/>
      <w:bookmarkEnd w:id="1906"/>
      <w:bookmarkEnd w:id="1907"/>
      <w:bookmarkEnd w:id="1908"/>
      <w:bookmarkEnd w:id="1909"/>
      <w:bookmarkEnd w:id="1910"/>
    </w:p>
    <w:p w14:paraId="776AFBDE">
      <w:pPr>
        <w:tabs>
          <w:tab w:val="left" w:pos="3855"/>
        </w:tabs>
        <w:spacing w:line="360" w:lineRule="auto"/>
        <w:outlineLvl w:val="2"/>
        <w:rPr>
          <w:rFonts w:ascii="宋体" w:hAnsi="宋体" w:cs="宋体"/>
          <w:szCs w:val="21"/>
        </w:rPr>
      </w:pPr>
      <w:r>
        <w:rPr>
          <w:rFonts w:hint="eastAsia" w:ascii="宋体" w:hAnsi="宋体" w:cs="宋体"/>
          <w:szCs w:val="21"/>
        </w:rPr>
        <w:t>17.2.1  预付款</w:t>
      </w:r>
    </w:p>
    <w:p w14:paraId="5E4D5A26">
      <w:pPr>
        <w:tabs>
          <w:tab w:val="left" w:pos="3855"/>
        </w:tabs>
        <w:spacing w:line="360" w:lineRule="auto"/>
        <w:rPr>
          <w:rFonts w:ascii="宋体" w:hAnsi="宋体" w:cs="宋体"/>
          <w:szCs w:val="21"/>
        </w:rPr>
      </w:pPr>
      <w:r>
        <w:rPr>
          <w:rFonts w:hint="eastAsia" w:ascii="宋体" w:hAnsi="宋体" w:cs="宋体"/>
          <w:szCs w:val="21"/>
        </w:rPr>
        <w:t>预付款用于承包人为合同工程施工购置材料、工程设备、施工设备、修建临时设施以及组织施工队伍进场等。预付款必须专用于合同工程。预付款的额度和预付办法以及支付时间见合同条款专用部分。</w:t>
      </w:r>
    </w:p>
    <w:p w14:paraId="5888503A">
      <w:pPr>
        <w:tabs>
          <w:tab w:val="left" w:pos="3855"/>
        </w:tabs>
        <w:spacing w:line="360" w:lineRule="auto"/>
        <w:rPr>
          <w:rFonts w:ascii="宋体" w:hAnsi="宋体" w:cs="宋体"/>
          <w:szCs w:val="21"/>
        </w:rPr>
      </w:pPr>
      <w:r>
        <w:rPr>
          <w:rFonts w:hint="eastAsia" w:ascii="宋体" w:hAnsi="宋体" w:cs="宋体"/>
          <w:szCs w:val="21"/>
        </w:rPr>
        <w:t>安全文明施工费用的预付不受上述预付办法和支付时间约定的制约，发包人应当在不迟于第11.1.1项约定的开工日期前的7天内将安全文明施工费用的预付款一次性拨付给承包人。安全文明施工费用预付款额度见合同条款专用部分。</w:t>
      </w:r>
    </w:p>
    <w:p w14:paraId="007A948B">
      <w:pPr>
        <w:tabs>
          <w:tab w:val="left" w:pos="3855"/>
        </w:tabs>
        <w:spacing w:line="360" w:lineRule="auto"/>
        <w:rPr>
          <w:rFonts w:ascii="宋体" w:hAnsi="宋体" w:cs="宋体"/>
          <w:szCs w:val="21"/>
        </w:rPr>
      </w:pPr>
      <w:r>
        <w:rPr>
          <w:rFonts w:hint="eastAsia" w:ascii="宋体" w:hAnsi="宋体" w:cs="宋体"/>
          <w:szCs w:val="21"/>
        </w:rPr>
        <w:t>发包人逾期支付合同约定的预付款，除承担第22.2款约定的违约责任外，还应向承包人支付按第17.3.3(2)目约定的标准和方法计算的逾期付款违约金。</w:t>
      </w:r>
    </w:p>
    <w:p w14:paraId="79A1594E">
      <w:pPr>
        <w:pStyle w:val="272"/>
        <w:numPr>
          <w:ilvl w:val="0"/>
          <w:numId w:val="22"/>
        </w:numPr>
        <w:tabs>
          <w:tab w:val="left" w:pos="3855"/>
        </w:tabs>
        <w:spacing w:line="360" w:lineRule="auto"/>
        <w:ind w:firstLineChars="0"/>
        <w:outlineLvl w:val="2"/>
        <w:rPr>
          <w:rFonts w:ascii="宋体" w:hAnsi="宋体" w:cs="宋体"/>
          <w:szCs w:val="21"/>
        </w:rPr>
      </w:pPr>
      <w:r>
        <w:rPr>
          <w:rFonts w:hint="eastAsia" w:ascii="宋体" w:hAnsi="宋体" w:cs="宋体"/>
          <w:szCs w:val="21"/>
        </w:rPr>
        <w:t>预付款的扣回与还清</w:t>
      </w:r>
    </w:p>
    <w:p w14:paraId="3DEC0A1C">
      <w:pPr>
        <w:tabs>
          <w:tab w:val="left" w:pos="3855"/>
        </w:tabs>
        <w:spacing w:line="360" w:lineRule="auto"/>
        <w:rPr>
          <w:rFonts w:ascii="宋体" w:hAnsi="宋体" w:cs="宋体"/>
          <w:szCs w:val="21"/>
        </w:rPr>
      </w:pPr>
      <w:r>
        <w:rPr>
          <w:rFonts w:hint="eastAsia" w:ascii="宋体" w:hAnsi="宋体" w:cs="宋体"/>
          <w:szCs w:val="21"/>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14:paraId="234CB475">
      <w:pPr>
        <w:tabs>
          <w:tab w:val="left" w:pos="3855"/>
        </w:tabs>
        <w:spacing w:line="360" w:lineRule="auto"/>
        <w:outlineLvl w:val="1"/>
        <w:rPr>
          <w:rFonts w:ascii="宋体" w:hAnsi="宋体" w:cs="宋体"/>
          <w:szCs w:val="21"/>
        </w:rPr>
      </w:pPr>
      <w:bookmarkStart w:id="1911" w:name="_Toc480487013"/>
      <w:bookmarkStart w:id="1912" w:name="_Toc338944814"/>
      <w:bookmarkStart w:id="1913" w:name="_Toc480486841"/>
      <w:bookmarkStart w:id="1914" w:name="_Toc483668188"/>
      <w:bookmarkStart w:id="1915" w:name="_Toc486580159"/>
      <w:bookmarkStart w:id="1916" w:name="_Toc497456549"/>
      <w:bookmarkStart w:id="1917" w:name="_Toc342296372"/>
      <w:bookmarkStart w:id="1918" w:name="_Toc490222604"/>
      <w:bookmarkStart w:id="1919" w:name="_Toc489279970"/>
      <w:r>
        <w:rPr>
          <w:rFonts w:hint="eastAsia" w:ascii="宋体" w:hAnsi="宋体" w:cs="宋体"/>
          <w:szCs w:val="21"/>
        </w:rPr>
        <w:t>17.3  工程进度付款</w:t>
      </w:r>
      <w:bookmarkEnd w:id="1911"/>
      <w:bookmarkEnd w:id="1912"/>
      <w:bookmarkEnd w:id="1913"/>
      <w:bookmarkEnd w:id="1914"/>
      <w:bookmarkEnd w:id="1915"/>
      <w:bookmarkEnd w:id="1916"/>
      <w:bookmarkEnd w:id="1917"/>
      <w:bookmarkEnd w:id="1918"/>
      <w:bookmarkEnd w:id="1919"/>
    </w:p>
    <w:p w14:paraId="50B3AFA4">
      <w:pPr>
        <w:tabs>
          <w:tab w:val="left" w:pos="3855"/>
        </w:tabs>
        <w:spacing w:line="360" w:lineRule="auto"/>
        <w:outlineLvl w:val="2"/>
        <w:rPr>
          <w:rFonts w:ascii="宋体" w:hAnsi="宋体" w:cs="宋体"/>
          <w:szCs w:val="21"/>
        </w:rPr>
      </w:pPr>
      <w:r>
        <w:rPr>
          <w:rFonts w:hint="eastAsia" w:ascii="宋体" w:hAnsi="宋体" w:cs="宋体"/>
          <w:szCs w:val="21"/>
        </w:rPr>
        <w:t>17.3.1  付款周期</w:t>
      </w:r>
    </w:p>
    <w:p w14:paraId="1865F6D4">
      <w:pPr>
        <w:tabs>
          <w:tab w:val="left" w:pos="3855"/>
        </w:tabs>
        <w:spacing w:line="360" w:lineRule="auto"/>
        <w:rPr>
          <w:rFonts w:ascii="宋体" w:hAnsi="宋体" w:cs="宋体"/>
          <w:szCs w:val="21"/>
        </w:rPr>
      </w:pPr>
      <w:r>
        <w:rPr>
          <w:rFonts w:hint="eastAsia" w:ascii="宋体" w:hAnsi="宋体" w:cs="宋体"/>
          <w:szCs w:val="21"/>
        </w:rPr>
        <w:t>付款周期同计量周期。</w:t>
      </w:r>
    </w:p>
    <w:p w14:paraId="1ABAEB19">
      <w:pPr>
        <w:pStyle w:val="272"/>
        <w:numPr>
          <w:ilvl w:val="0"/>
          <w:numId w:val="22"/>
        </w:numPr>
        <w:tabs>
          <w:tab w:val="left" w:pos="3855"/>
        </w:tabs>
        <w:spacing w:line="360" w:lineRule="auto"/>
        <w:ind w:firstLineChars="0"/>
        <w:outlineLvl w:val="2"/>
        <w:rPr>
          <w:rFonts w:ascii="宋体" w:hAnsi="宋体" w:cs="宋体"/>
          <w:szCs w:val="21"/>
        </w:rPr>
      </w:pPr>
      <w:r>
        <w:rPr>
          <w:rFonts w:hint="eastAsia" w:ascii="宋体" w:hAnsi="宋体" w:cs="宋体"/>
          <w:szCs w:val="21"/>
        </w:rPr>
        <w:t>进度付款申请单</w:t>
      </w:r>
    </w:p>
    <w:p w14:paraId="0FD9EDE2">
      <w:pPr>
        <w:tabs>
          <w:tab w:val="left" w:pos="3855"/>
        </w:tabs>
        <w:spacing w:line="360" w:lineRule="auto"/>
        <w:rPr>
          <w:rFonts w:ascii="宋体" w:hAnsi="宋体" w:cs="宋体"/>
          <w:szCs w:val="21"/>
        </w:rPr>
      </w:pPr>
      <w:r>
        <w:rPr>
          <w:rFonts w:hint="eastAsia" w:ascii="宋体" w:hAnsi="宋体" w:cs="宋体"/>
          <w:szCs w:val="21"/>
        </w:rPr>
        <w:t>承包人应在每个付款周期末，按监理人批准的格式和合同约定的份数，向监理人提交进度付款申请单，并附相应的支持性证明文件。承包人提交进度付款申请单份数见合同条款专用部分。</w:t>
      </w:r>
    </w:p>
    <w:p w14:paraId="3687BBBD">
      <w:pPr>
        <w:tabs>
          <w:tab w:val="left" w:pos="3855"/>
        </w:tabs>
        <w:spacing w:line="360" w:lineRule="auto"/>
        <w:rPr>
          <w:rFonts w:ascii="宋体" w:hAnsi="宋体" w:cs="宋体"/>
          <w:szCs w:val="21"/>
        </w:rPr>
      </w:pPr>
      <w:r>
        <w:rPr>
          <w:rFonts w:hint="eastAsia" w:ascii="宋体" w:hAnsi="宋体" w:cs="宋体"/>
          <w:szCs w:val="21"/>
        </w:rPr>
        <w:t>承包人报送监理人的进度付款申请单应包括下列内容：</w:t>
      </w:r>
    </w:p>
    <w:p w14:paraId="103A03D3">
      <w:pPr>
        <w:tabs>
          <w:tab w:val="left" w:pos="3855"/>
        </w:tabs>
        <w:spacing w:line="360" w:lineRule="auto"/>
        <w:rPr>
          <w:rFonts w:ascii="宋体" w:hAnsi="宋体" w:cs="宋体"/>
          <w:szCs w:val="21"/>
        </w:rPr>
      </w:pPr>
      <w:r>
        <w:rPr>
          <w:rFonts w:hint="eastAsia" w:ascii="宋体" w:hAnsi="宋体" w:cs="宋体"/>
          <w:szCs w:val="21"/>
        </w:rPr>
        <w:t>（1）截至本次付款周期末已实施工程的价款；</w:t>
      </w:r>
    </w:p>
    <w:p w14:paraId="1CB1780B">
      <w:pPr>
        <w:tabs>
          <w:tab w:val="left" w:pos="3855"/>
        </w:tabs>
        <w:spacing w:line="360" w:lineRule="auto"/>
        <w:rPr>
          <w:rFonts w:ascii="宋体" w:hAnsi="宋体" w:cs="宋体"/>
          <w:szCs w:val="21"/>
        </w:rPr>
      </w:pPr>
      <w:r>
        <w:rPr>
          <w:rFonts w:hint="eastAsia" w:ascii="宋体" w:hAnsi="宋体" w:cs="宋体"/>
          <w:szCs w:val="21"/>
        </w:rPr>
        <w:t>（2）根据第15条应增加和扣减的变更金额；</w:t>
      </w:r>
    </w:p>
    <w:p w14:paraId="5F56EEEC">
      <w:pPr>
        <w:tabs>
          <w:tab w:val="left" w:pos="3855"/>
        </w:tabs>
        <w:spacing w:line="360" w:lineRule="auto"/>
        <w:rPr>
          <w:rFonts w:ascii="宋体" w:hAnsi="宋体" w:cs="宋体"/>
          <w:szCs w:val="21"/>
        </w:rPr>
      </w:pPr>
      <w:r>
        <w:rPr>
          <w:rFonts w:hint="eastAsia" w:ascii="宋体" w:hAnsi="宋体" w:cs="宋体"/>
          <w:szCs w:val="21"/>
        </w:rPr>
        <w:t>（3）根据第23条应增加和扣减的索赔金额；</w:t>
      </w:r>
    </w:p>
    <w:p w14:paraId="2518C507">
      <w:pPr>
        <w:tabs>
          <w:tab w:val="left" w:pos="3855"/>
        </w:tabs>
        <w:spacing w:line="360" w:lineRule="auto"/>
        <w:rPr>
          <w:rFonts w:ascii="宋体" w:hAnsi="宋体" w:cs="宋体"/>
          <w:szCs w:val="21"/>
        </w:rPr>
      </w:pPr>
      <w:r>
        <w:rPr>
          <w:rFonts w:hint="eastAsia" w:ascii="宋体" w:hAnsi="宋体" w:cs="宋体"/>
          <w:szCs w:val="21"/>
        </w:rPr>
        <w:t>（4）根据第17.2款约定应支付的预付款和扣减的返还预付款；</w:t>
      </w:r>
    </w:p>
    <w:p w14:paraId="424B6998">
      <w:pPr>
        <w:tabs>
          <w:tab w:val="left" w:pos="3855"/>
        </w:tabs>
        <w:spacing w:line="360" w:lineRule="auto"/>
        <w:rPr>
          <w:rFonts w:ascii="宋体" w:hAnsi="宋体" w:cs="宋体"/>
          <w:szCs w:val="21"/>
        </w:rPr>
      </w:pPr>
      <w:r>
        <w:rPr>
          <w:rFonts w:hint="eastAsia" w:ascii="宋体" w:hAnsi="宋体" w:cs="宋体"/>
          <w:szCs w:val="21"/>
        </w:rPr>
        <w:t>（5）根据第17.4.1项约定应扣减的质量保证金；</w:t>
      </w:r>
    </w:p>
    <w:p w14:paraId="621ED411">
      <w:pPr>
        <w:tabs>
          <w:tab w:val="left" w:pos="3855"/>
        </w:tabs>
        <w:spacing w:line="360" w:lineRule="auto"/>
        <w:rPr>
          <w:rFonts w:ascii="宋体" w:hAnsi="宋体" w:cs="宋体"/>
          <w:szCs w:val="21"/>
        </w:rPr>
      </w:pPr>
      <w:r>
        <w:rPr>
          <w:rFonts w:hint="eastAsia" w:ascii="宋体" w:hAnsi="宋体" w:cs="宋体"/>
          <w:szCs w:val="21"/>
        </w:rPr>
        <w:t>（6）根据合同应增加和（或）扣减的其他内容金额见合同条款专用部分。</w:t>
      </w:r>
    </w:p>
    <w:p w14:paraId="53BA86F0">
      <w:pPr>
        <w:tabs>
          <w:tab w:val="left" w:pos="3855"/>
        </w:tabs>
        <w:spacing w:line="360" w:lineRule="auto"/>
        <w:outlineLvl w:val="2"/>
        <w:rPr>
          <w:rFonts w:ascii="宋体" w:hAnsi="宋体" w:cs="宋体"/>
          <w:szCs w:val="21"/>
        </w:rPr>
      </w:pPr>
      <w:r>
        <w:rPr>
          <w:rFonts w:hint="eastAsia" w:ascii="宋体" w:hAnsi="宋体" w:cs="宋体"/>
          <w:szCs w:val="21"/>
        </w:rPr>
        <w:t>17.3.3  进度付款证书和支付时间</w:t>
      </w:r>
    </w:p>
    <w:p w14:paraId="35D77B35">
      <w:pPr>
        <w:tabs>
          <w:tab w:val="left" w:pos="3855"/>
        </w:tabs>
        <w:spacing w:line="360" w:lineRule="auto"/>
        <w:rPr>
          <w:rFonts w:ascii="宋体" w:hAnsi="宋体" w:cs="宋体"/>
          <w:szCs w:val="21"/>
        </w:rPr>
      </w:pPr>
      <w:r>
        <w:rPr>
          <w:rFonts w:hint="eastAsia" w:ascii="宋体" w:hAnsi="宋体" w:cs="宋体"/>
          <w:szCs w:val="21"/>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69E67D0">
      <w:pPr>
        <w:tabs>
          <w:tab w:val="left" w:pos="3855"/>
        </w:tabs>
        <w:spacing w:line="360" w:lineRule="auto"/>
        <w:rPr>
          <w:rFonts w:ascii="宋体" w:hAnsi="宋体" w:cs="宋体"/>
          <w:szCs w:val="21"/>
        </w:rPr>
      </w:pPr>
      <w:r>
        <w:rPr>
          <w:rFonts w:hint="eastAsia" w:ascii="宋体" w:hAnsi="宋体" w:cs="宋体"/>
          <w:szCs w:val="21"/>
        </w:rPr>
        <w:t>（2）发包人应在监理人收到进度付款申请单后的28天内，将进度应付款支付给承包人。发包人未按第17.2.1(2)目、第17.3.3(2)目、第17.5.2(2)目和第17.6.2(2)目约定的期限支付承包人依合同约定应当得到的款项，应当从应付之日起按照合同约定的计算标准和计算方法向承包人支付逾期付款违约金。承包人应当按第23.1（1）目的约定，在最终付款期限到期后28天内，向监理人递交索赔意向通知书,说明有权得到按本款约定的标准和方法计算的逾期付款违约金。承包人要求发包人支付逾期付款违约金不影响承包人要求发包人承担第22.2款约定的其他违约责任的权利。逾期付款违约金计算标准和计算方法见合同条款专用部分。</w:t>
      </w:r>
    </w:p>
    <w:p w14:paraId="26015BF3">
      <w:pPr>
        <w:tabs>
          <w:tab w:val="left" w:pos="3855"/>
        </w:tabs>
        <w:spacing w:line="360" w:lineRule="auto"/>
        <w:rPr>
          <w:rFonts w:ascii="宋体" w:hAnsi="宋体" w:cs="宋体"/>
          <w:szCs w:val="21"/>
        </w:rPr>
      </w:pPr>
      <w:r>
        <w:rPr>
          <w:rFonts w:hint="eastAsia" w:ascii="宋体" w:hAnsi="宋体" w:cs="宋体"/>
          <w:szCs w:val="21"/>
        </w:rPr>
        <w:t>（3）监理人出具进度付款证书，不应视为监理人已同意、批准或接受了承包人完成的该部分工作。</w:t>
      </w:r>
    </w:p>
    <w:p w14:paraId="1D313466">
      <w:pPr>
        <w:tabs>
          <w:tab w:val="left" w:pos="3855"/>
        </w:tabs>
        <w:spacing w:line="360" w:lineRule="auto"/>
        <w:rPr>
          <w:rFonts w:ascii="宋体" w:hAnsi="宋体" w:cs="宋体"/>
          <w:szCs w:val="21"/>
        </w:rPr>
      </w:pPr>
      <w:r>
        <w:rPr>
          <w:rFonts w:hint="eastAsia" w:ascii="宋体" w:hAnsi="宋体" w:cs="宋体"/>
          <w:szCs w:val="21"/>
        </w:rPr>
        <w:t>（4）进度付款涉及政府投资资金的，按照国库集中支付等国家相关规定和合同约定办理。进度付款涉及政府性资金的支付方法见合同条款专用部分。</w:t>
      </w:r>
    </w:p>
    <w:p w14:paraId="03B3EC99">
      <w:pPr>
        <w:tabs>
          <w:tab w:val="left" w:pos="3855"/>
        </w:tabs>
        <w:spacing w:line="360" w:lineRule="auto"/>
        <w:outlineLvl w:val="2"/>
        <w:rPr>
          <w:rFonts w:ascii="宋体" w:hAnsi="宋体" w:cs="宋体"/>
          <w:szCs w:val="21"/>
        </w:rPr>
      </w:pPr>
      <w:r>
        <w:rPr>
          <w:rFonts w:hint="eastAsia" w:ascii="宋体" w:hAnsi="宋体" w:cs="宋体"/>
          <w:szCs w:val="21"/>
        </w:rPr>
        <w:t>17.3.4  工程进度付款的修正</w:t>
      </w:r>
    </w:p>
    <w:p w14:paraId="28885E42">
      <w:pPr>
        <w:tabs>
          <w:tab w:val="left" w:pos="3855"/>
        </w:tabs>
        <w:spacing w:line="360" w:lineRule="auto"/>
        <w:rPr>
          <w:rFonts w:ascii="宋体" w:hAnsi="宋体" w:cs="宋体"/>
          <w:szCs w:val="21"/>
        </w:rPr>
      </w:pPr>
      <w:r>
        <w:rPr>
          <w:rFonts w:hint="eastAsia" w:ascii="宋体" w:hAnsi="宋体" w:cs="宋体"/>
          <w:szCs w:val="21"/>
        </w:rPr>
        <w:t>在对以往历次已签发的进度付款证书进行汇总和复核中发现错、漏或重复的，监理人有权予以修正，承包人也有权提出修正申请。经双方复核同意的修正，应在本次进度付款中支付或扣除。</w:t>
      </w:r>
    </w:p>
    <w:p w14:paraId="1294D80E">
      <w:pPr>
        <w:pStyle w:val="272"/>
        <w:numPr>
          <w:ilvl w:val="0"/>
          <w:numId w:val="22"/>
        </w:numPr>
        <w:tabs>
          <w:tab w:val="left" w:pos="3855"/>
        </w:tabs>
        <w:spacing w:line="360" w:lineRule="auto"/>
        <w:ind w:firstLineChars="0"/>
        <w:outlineLvl w:val="2"/>
        <w:rPr>
          <w:rFonts w:ascii="宋体" w:hAnsi="宋体" w:cs="宋体"/>
          <w:szCs w:val="21"/>
        </w:rPr>
      </w:pPr>
      <w:r>
        <w:rPr>
          <w:rFonts w:hint="eastAsia" w:ascii="宋体" w:hAnsi="宋体" w:cs="宋体"/>
          <w:szCs w:val="21"/>
        </w:rPr>
        <w:t>临时付款证书</w:t>
      </w:r>
    </w:p>
    <w:p w14:paraId="73314EE6">
      <w:pPr>
        <w:tabs>
          <w:tab w:val="left" w:pos="3855"/>
        </w:tabs>
        <w:spacing w:line="360" w:lineRule="auto"/>
        <w:rPr>
          <w:rFonts w:ascii="宋体" w:hAnsi="宋体" w:cs="宋体"/>
          <w:szCs w:val="21"/>
        </w:rPr>
      </w:pPr>
      <w:r>
        <w:rPr>
          <w:rFonts w:hint="eastAsia" w:ascii="宋体" w:hAnsi="宋体" w:cs="宋体"/>
          <w:szCs w:val="21"/>
        </w:rPr>
        <w:t>在合同约定的期限内，承包人和监理人无法对当期已完工程量和按合同约定应当支付的其他款项达成一致的，监理人应当在收到承包人报送的进度付款申请单等文件后14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28天内，将临时付款证书中确定的应付金额支付给承包人。发包人和监理人均不得以任何理由延期支付工程进度付款。</w:t>
      </w:r>
    </w:p>
    <w:p w14:paraId="45ACC823">
      <w:pPr>
        <w:tabs>
          <w:tab w:val="left" w:pos="3855"/>
        </w:tabs>
        <w:spacing w:line="360" w:lineRule="auto"/>
        <w:rPr>
          <w:rFonts w:ascii="宋体" w:hAnsi="宋体" w:cs="宋体"/>
          <w:szCs w:val="21"/>
        </w:rPr>
      </w:pPr>
      <w:r>
        <w:rPr>
          <w:rFonts w:hint="eastAsia" w:ascii="宋体" w:hAnsi="宋体" w:cs="宋体"/>
          <w:szCs w:val="21"/>
        </w:rPr>
        <w:t>对临时付款证书中承包人有异议部分的金额，承包人应当按照监理人要求，提交进一步的支持性文件，经监理人进一步审核并认可的应付金额，应当按第17.3.4项的约定纳入到下一期进度付款证书中。经过进一步努力，承包人仍有异议的，按合同条款第24条的约定办理。</w:t>
      </w:r>
    </w:p>
    <w:p w14:paraId="1086C6DA">
      <w:pPr>
        <w:tabs>
          <w:tab w:val="left" w:pos="3855"/>
        </w:tabs>
        <w:spacing w:line="360" w:lineRule="auto"/>
        <w:rPr>
          <w:rFonts w:ascii="宋体" w:hAnsi="宋体" w:cs="宋体"/>
          <w:szCs w:val="21"/>
        </w:rPr>
      </w:pPr>
      <w:r>
        <w:rPr>
          <w:rFonts w:hint="eastAsia" w:ascii="宋体" w:hAnsi="宋体" w:cs="宋体"/>
          <w:szCs w:val="21"/>
        </w:rPr>
        <w:t>有异议款项中经监理人进一步审核后认可的，或者经过合同条款第24条约定的争议解决方式确定的应付金额，其应付之日为引发异议的进度付款证书的应付之日，承包人有权得到按第17.3.3（2）目约定计算的逾期付款违约金。</w:t>
      </w:r>
    </w:p>
    <w:p w14:paraId="1D874E66">
      <w:pPr>
        <w:tabs>
          <w:tab w:val="left" w:pos="3855"/>
        </w:tabs>
        <w:spacing w:line="360" w:lineRule="auto"/>
        <w:outlineLvl w:val="1"/>
        <w:rPr>
          <w:rFonts w:ascii="宋体" w:hAnsi="宋体" w:cs="宋体"/>
          <w:szCs w:val="21"/>
        </w:rPr>
      </w:pPr>
      <w:bookmarkStart w:id="1920" w:name="_Toc338944815"/>
      <w:bookmarkStart w:id="1921" w:name="_Toc497456550"/>
      <w:bookmarkStart w:id="1922" w:name="_Toc490222605"/>
      <w:bookmarkStart w:id="1923" w:name="_Toc480487015"/>
      <w:bookmarkStart w:id="1924" w:name="_Toc483668189"/>
      <w:bookmarkStart w:id="1925" w:name="_Toc342296373"/>
      <w:bookmarkStart w:id="1926" w:name="_Toc480486843"/>
      <w:bookmarkStart w:id="1927" w:name="_Toc486580160"/>
      <w:bookmarkStart w:id="1928" w:name="_Toc489279971"/>
      <w:r>
        <w:rPr>
          <w:rFonts w:hint="eastAsia" w:ascii="宋体" w:hAnsi="宋体" w:cs="宋体"/>
          <w:szCs w:val="21"/>
        </w:rPr>
        <w:t>17.4  质量保证金</w:t>
      </w:r>
      <w:bookmarkEnd w:id="1920"/>
      <w:bookmarkEnd w:id="1921"/>
      <w:bookmarkEnd w:id="1922"/>
      <w:bookmarkEnd w:id="1923"/>
      <w:bookmarkEnd w:id="1924"/>
      <w:bookmarkEnd w:id="1925"/>
      <w:bookmarkEnd w:id="1926"/>
      <w:bookmarkEnd w:id="1927"/>
      <w:bookmarkEnd w:id="1928"/>
    </w:p>
    <w:p w14:paraId="6AD7512E">
      <w:pPr>
        <w:tabs>
          <w:tab w:val="left" w:pos="3855"/>
        </w:tabs>
        <w:spacing w:line="360" w:lineRule="auto"/>
        <w:outlineLvl w:val="2"/>
        <w:rPr>
          <w:rFonts w:ascii="宋体" w:hAnsi="宋体" w:cs="宋体"/>
          <w:szCs w:val="21"/>
        </w:rPr>
      </w:pPr>
      <w:bookmarkStart w:id="1929" w:name="_Toc489279972"/>
      <w:bookmarkStart w:id="1930" w:name="_Toc483668190"/>
      <w:bookmarkStart w:id="1931" w:name="_Toc486580161"/>
      <w:bookmarkStart w:id="1932" w:name="_Toc338944816"/>
      <w:bookmarkStart w:id="1933" w:name="_Toc490222606"/>
      <w:bookmarkStart w:id="1934" w:name="_Toc480486844"/>
      <w:bookmarkStart w:id="1935" w:name="_Toc342296374"/>
      <w:bookmarkStart w:id="1936" w:name="_Toc480487016"/>
      <w:r>
        <w:rPr>
          <w:rFonts w:hint="eastAsia" w:ascii="宋体" w:hAnsi="宋体" w:cs="宋体"/>
          <w:szCs w:val="21"/>
        </w:rPr>
        <w:t>17.4.1  质量保证金处理</w:t>
      </w:r>
    </w:p>
    <w:p w14:paraId="61523F67">
      <w:pPr>
        <w:tabs>
          <w:tab w:val="left" w:pos="3855"/>
        </w:tabs>
        <w:spacing w:line="360" w:lineRule="auto"/>
        <w:rPr>
          <w:rFonts w:ascii="宋体" w:hAnsi="宋体" w:cs="宋体"/>
          <w:szCs w:val="21"/>
        </w:rPr>
      </w:pPr>
      <w:r>
        <w:rPr>
          <w:rFonts w:hint="eastAsia" w:ascii="宋体" w:hAnsi="宋体" w:cs="宋体"/>
          <w:szCs w:val="21"/>
        </w:rPr>
        <w:t>（1）合同条款专用部分第4.2.1项约定不提交履约担保，采用扣留质量保证金的，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此前已经按合同约定支付给承包人的进度款以及已经扣留的质量保证金）的总额的约定比例扣留，直至质量保证金累计扣留金额达到竣工结算合同总价的约定比例为止；</w:t>
      </w:r>
    </w:p>
    <w:p w14:paraId="2B574FA0">
      <w:pPr>
        <w:tabs>
          <w:tab w:val="left" w:pos="3855"/>
        </w:tabs>
        <w:spacing w:line="360" w:lineRule="auto"/>
        <w:rPr>
          <w:rFonts w:ascii="宋体" w:hAnsi="宋体" w:cs="宋体"/>
          <w:szCs w:val="21"/>
        </w:rPr>
      </w:pPr>
      <w:r>
        <w:rPr>
          <w:rFonts w:hint="eastAsia" w:ascii="宋体" w:hAnsi="宋体" w:cs="宋体"/>
          <w:szCs w:val="21"/>
        </w:rPr>
        <w:t>采用质量保证金保函担保形式的，工程竣工前，不得扣留质量保证金。</w:t>
      </w:r>
    </w:p>
    <w:p w14:paraId="4F96749B">
      <w:pPr>
        <w:tabs>
          <w:tab w:val="left" w:pos="3855"/>
        </w:tabs>
        <w:spacing w:line="360" w:lineRule="auto"/>
        <w:rPr>
          <w:rFonts w:ascii="宋体" w:hAnsi="宋体" w:cs="宋体"/>
          <w:szCs w:val="21"/>
        </w:rPr>
      </w:pPr>
      <w:r>
        <w:rPr>
          <w:rFonts w:hint="eastAsia" w:ascii="宋体" w:hAnsi="宋体" w:cs="宋体"/>
          <w:szCs w:val="21"/>
        </w:rPr>
        <w:t>（2）合同条款专用部分第4.2.1项约定提交履约担保，采用扣留质量保证金的，在第17.5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14:paraId="5A044316">
      <w:pPr>
        <w:tabs>
          <w:tab w:val="left" w:pos="3855"/>
        </w:tabs>
        <w:spacing w:line="360" w:lineRule="auto"/>
        <w:rPr>
          <w:rFonts w:ascii="宋体" w:hAnsi="宋体" w:cs="宋体"/>
          <w:szCs w:val="21"/>
        </w:rPr>
      </w:pPr>
      <w:r>
        <w:rPr>
          <w:rFonts w:hint="eastAsia" w:ascii="宋体" w:hAnsi="宋体" w:cs="宋体"/>
          <w:szCs w:val="21"/>
        </w:rPr>
        <w:t>（3）质量保证金的形式与约定比例见合同条款专用部分。</w:t>
      </w:r>
    </w:p>
    <w:p w14:paraId="708E8898">
      <w:pPr>
        <w:tabs>
          <w:tab w:val="left" w:pos="3855"/>
        </w:tabs>
        <w:spacing w:line="360" w:lineRule="auto"/>
        <w:outlineLvl w:val="2"/>
        <w:rPr>
          <w:rFonts w:ascii="宋体" w:hAnsi="宋体" w:cs="宋体"/>
          <w:szCs w:val="21"/>
        </w:rPr>
      </w:pPr>
      <w:r>
        <w:rPr>
          <w:rFonts w:hint="eastAsia" w:ascii="宋体" w:hAnsi="宋体" w:cs="宋体"/>
          <w:szCs w:val="21"/>
        </w:rPr>
        <w:t>17.4.2  在第1.1.4.5目约定的缺陷责任期满时，承包人向发包人申请到期应返还承包人剩余的质量保证金金额或退还保函担保，发包人应在14天内会同承包人按照合同约定的内容核实承包人是否完成缺陷责任。如无异议，发包人应当在核实后将剩余保证金返还承包人或将其保函退还承包人。</w:t>
      </w:r>
    </w:p>
    <w:p w14:paraId="271B14C0">
      <w:pPr>
        <w:tabs>
          <w:tab w:val="left" w:pos="3855"/>
        </w:tabs>
        <w:spacing w:line="360" w:lineRule="auto"/>
        <w:outlineLvl w:val="2"/>
        <w:rPr>
          <w:rFonts w:ascii="宋体" w:hAnsi="宋体" w:cs="宋体"/>
          <w:szCs w:val="21"/>
        </w:rPr>
      </w:pPr>
      <w:r>
        <w:rPr>
          <w:rFonts w:hint="eastAsia" w:ascii="宋体" w:hAnsi="宋体" w:cs="宋体"/>
          <w:szCs w:val="21"/>
        </w:rPr>
        <w:t>17.4.3  在第1.1.4.5目约定的缺陷责任期满时，承包人没有完成缺陷责任的，发包人有权扣留与未履行责任剩余工作所需金额相应的质量保证金余额或依据其保函担保约定追究责任，并有权根据第19.3款约定要求延长缺陷责任期，直至完成剩余工作为止。</w:t>
      </w:r>
    </w:p>
    <w:p w14:paraId="54F7C205">
      <w:pPr>
        <w:tabs>
          <w:tab w:val="left" w:pos="3855"/>
        </w:tabs>
        <w:spacing w:line="360" w:lineRule="auto"/>
        <w:outlineLvl w:val="1"/>
        <w:rPr>
          <w:rFonts w:ascii="宋体" w:hAnsi="宋体" w:cs="宋体"/>
          <w:szCs w:val="21"/>
        </w:rPr>
      </w:pPr>
      <w:bookmarkStart w:id="1937" w:name="_Toc497456551"/>
      <w:r>
        <w:rPr>
          <w:rFonts w:hint="eastAsia" w:ascii="宋体" w:hAnsi="宋体" w:cs="宋体"/>
          <w:szCs w:val="21"/>
        </w:rPr>
        <w:t>17.5  竣工结算</w:t>
      </w:r>
      <w:bookmarkEnd w:id="1929"/>
      <w:bookmarkEnd w:id="1930"/>
      <w:bookmarkEnd w:id="1931"/>
      <w:bookmarkEnd w:id="1932"/>
      <w:bookmarkEnd w:id="1933"/>
      <w:bookmarkEnd w:id="1934"/>
      <w:bookmarkEnd w:id="1935"/>
      <w:bookmarkEnd w:id="1936"/>
      <w:bookmarkEnd w:id="1937"/>
    </w:p>
    <w:p w14:paraId="3FDB2377">
      <w:pPr>
        <w:tabs>
          <w:tab w:val="left" w:pos="3855"/>
        </w:tabs>
        <w:spacing w:line="360" w:lineRule="auto"/>
        <w:outlineLvl w:val="2"/>
        <w:rPr>
          <w:rFonts w:ascii="宋体" w:hAnsi="宋体" w:cs="宋体"/>
          <w:szCs w:val="21"/>
        </w:rPr>
      </w:pPr>
      <w:r>
        <w:rPr>
          <w:rFonts w:hint="eastAsia" w:ascii="宋体" w:hAnsi="宋体" w:cs="宋体"/>
          <w:szCs w:val="21"/>
        </w:rPr>
        <w:t>17.5.1  竣工付款申请单</w:t>
      </w:r>
    </w:p>
    <w:p w14:paraId="54EC6A6A">
      <w:pPr>
        <w:tabs>
          <w:tab w:val="left" w:pos="3855"/>
        </w:tabs>
        <w:spacing w:line="360" w:lineRule="auto"/>
        <w:rPr>
          <w:rFonts w:ascii="宋体" w:hAnsi="宋体" w:cs="宋体"/>
          <w:szCs w:val="21"/>
        </w:rPr>
      </w:pPr>
      <w:r>
        <w:rPr>
          <w:rFonts w:hint="eastAsia" w:ascii="宋体" w:hAnsi="宋体" w:cs="宋体"/>
          <w:szCs w:val="21"/>
        </w:rPr>
        <w:t>（1）工程接收证书颁发后，承包人应按合同约定的份数和期限向监理人提交竣工付款申请单，并提供相关证明材料。承包人提交竣工付款申请单份数和期限见合同条款专用部分。</w:t>
      </w:r>
    </w:p>
    <w:p w14:paraId="0CBB4AB7">
      <w:pPr>
        <w:tabs>
          <w:tab w:val="left" w:pos="3855"/>
        </w:tabs>
        <w:spacing w:line="360" w:lineRule="auto"/>
        <w:rPr>
          <w:rFonts w:ascii="宋体" w:hAnsi="宋体" w:cs="宋体"/>
          <w:szCs w:val="21"/>
        </w:rPr>
      </w:pPr>
      <w:r>
        <w:rPr>
          <w:rFonts w:hint="eastAsia" w:ascii="宋体" w:hAnsi="宋体" w:cs="宋体"/>
          <w:szCs w:val="21"/>
        </w:rPr>
        <w:t>（2）竣工付款申请单应包括下列内容：竣工结算合同总价、发包人已支付承包人的工程价款、应扣留的质量保证金、应支付的竣工付款金额和应支付或扣减的其他内容金额。竣工付款申请单的其他内容见合同条款专用部分。</w:t>
      </w:r>
    </w:p>
    <w:p w14:paraId="082DF8AB">
      <w:pPr>
        <w:tabs>
          <w:tab w:val="left" w:pos="3855"/>
        </w:tabs>
        <w:spacing w:line="360" w:lineRule="auto"/>
        <w:rPr>
          <w:rFonts w:ascii="宋体" w:hAnsi="宋体" w:cs="宋体"/>
          <w:szCs w:val="21"/>
        </w:rPr>
      </w:pPr>
      <w:r>
        <w:rPr>
          <w:rFonts w:hint="eastAsia" w:ascii="宋体" w:hAnsi="宋体" w:cs="宋体"/>
          <w:szCs w:val="21"/>
        </w:rPr>
        <w:t>（3）监理人对竣工付款申请单有异议的，有权要求承包人进行修正和提供补充资料。经监理人和承包人协商后，由承包人向监理人提交修正后的竣工付款申请单。</w:t>
      </w:r>
    </w:p>
    <w:p w14:paraId="66A975B6">
      <w:pPr>
        <w:tabs>
          <w:tab w:val="left" w:pos="3855"/>
        </w:tabs>
        <w:spacing w:line="360" w:lineRule="auto"/>
        <w:rPr>
          <w:rFonts w:ascii="宋体" w:hAnsi="宋体" w:cs="宋体"/>
          <w:szCs w:val="21"/>
        </w:rPr>
      </w:pPr>
      <w:r>
        <w:rPr>
          <w:rFonts w:hint="eastAsia" w:ascii="宋体" w:hAnsi="宋体" w:cs="宋体"/>
          <w:szCs w:val="21"/>
        </w:rPr>
        <w:t>（4）承包人未按本项约定的期限和内容提交竣工付款申请单或者未按第17.5.1（3</w:t>
      </w:r>
      <w:r>
        <w:rPr>
          <w:rFonts w:ascii="宋体" w:hAnsi="宋体" w:cs="宋体"/>
          <w:szCs w:val="21"/>
        </w:rPr>
        <w:t>）</w:t>
      </w:r>
      <w:r>
        <w:rPr>
          <w:rFonts w:hint="eastAsia" w:ascii="宋体" w:hAnsi="宋体" w:cs="宋体"/>
          <w:szCs w:val="21"/>
        </w:rPr>
        <w:t>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0E15ACCC">
      <w:pPr>
        <w:tabs>
          <w:tab w:val="left" w:pos="3855"/>
        </w:tabs>
        <w:spacing w:line="360" w:lineRule="auto"/>
        <w:outlineLvl w:val="2"/>
        <w:rPr>
          <w:rFonts w:ascii="宋体" w:hAnsi="宋体" w:cs="宋体"/>
          <w:szCs w:val="21"/>
        </w:rPr>
      </w:pPr>
      <w:r>
        <w:rPr>
          <w:rFonts w:hint="eastAsia" w:ascii="宋体" w:hAnsi="宋体" w:cs="宋体"/>
          <w:szCs w:val="21"/>
        </w:rPr>
        <w:t>17.5.2  竣工付款证书及支付时间</w:t>
      </w:r>
    </w:p>
    <w:p w14:paraId="7092D43D">
      <w:pPr>
        <w:tabs>
          <w:tab w:val="left" w:pos="3855"/>
        </w:tabs>
        <w:spacing w:line="360" w:lineRule="auto"/>
        <w:rPr>
          <w:rFonts w:ascii="宋体" w:hAnsi="宋体" w:cs="宋体"/>
          <w:szCs w:val="21"/>
        </w:rPr>
      </w:pPr>
      <w:r>
        <w:rPr>
          <w:rFonts w:hint="eastAsia" w:ascii="宋体" w:hAnsi="宋体" w:cs="宋体"/>
          <w:szCs w:val="21"/>
        </w:rPr>
        <w:t>（1）监理人在收到承包人提交的竣工付款申请单后的14天内完成审核，并提出发包人到期应支付给承包人的价款等审核意见，报送发包人审核。发包人应在收到后14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14:paraId="4BE528F6">
      <w:pPr>
        <w:tabs>
          <w:tab w:val="left" w:pos="3855"/>
        </w:tabs>
        <w:spacing w:line="360" w:lineRule="auto"/>
        <w:rPr>
          <w:rFonts w:ascii="宋体" w:hAnsi="宋体" w:cs="宋体"/>
          <w:szCs w:val="21"/>
        </w:rPr>
      </w:pPr>
      <w:r>
        <w:rPr>
          <w:rFonts w:hint="eastAsia" w:ascii="宋体" w:hAnsi="宋体" w:cs="宋体"/>
          <w:szCs w:val="21"/>
        </w:rPr>
        <w:t>（2）发包人应在监理人出具竣工付款证书后的14天内，将应支付款支付给承包人。发包人不按期支付的，按第17.3.3（2）目的约定，将逾期付款违约金支付给承包人。</w:t>
      </w:r>
    </w:p>
    <w:p w14:paraId="31614880">
      <w:pPr>
        <w:tabs>
          <w:tab w:val="left" w:pos="3855"/>
        </w:tabs>
        <w:spacing w:line="360" w:lineRule="auto"/>
        <w:rPr>
          <w:rFonts w:ascii="宋体" w:hAnsi="宋体" w:cs="宋体"/>
          <w:szCs w:val="21"/>
        </w:rPr>
      </w:pPr>
      <w:r>
        <w:rPr>
          <w:rFonts w:hint="eastAsia" w:ascii="宋体" w:hAnsi="宋体" w:cs="宋体"/>
          <w:szCs w:val="21"/>
        </w:rPr>
        <w:t>（3）承包人对发包人签认的竣工付款证书有异议的，发包人可出具竣工付款申请单中与承包人达成一致意见部分的临时付款证书。存在争议的部分，按第24条“争议的解决”的约定办理。</w:t>
      </w:r>
    </w:p>
    <w:p w14:paraId="7C2715E3">
      <w:pPr>
        <w:tabs>
          <w:tab w:val="left" w:pos="3855"/>
        </w:tabs>
        <w:spacing w:line="360" w:lineRule="auto"/>
        <w:rPr>
          <w:rFonts w:ascii="宋体" w:hAnsi="宋体" w:cs="宋体"/>
          <w:szCs w:val="21"/>
        </w:rPr>
      </w:pPr>
      <w:r>
        <w:rPr>
          <w:rFonts w:hint="eastAsia" w:ascii="宋体" w:hAnsi="宋体" w:cs="宋体"/>
          <w:szCs w:val="21"/>
        </w:rPr>
        <w:t>（4）竣工付款涉及政府投资资金的，按第17.3.3（4）目的约定办理。</w:t>
      </w:r>
    </w:p>
    <w:p w14:paraId="027F98EF">
      <w:pPr>
        <w:tabs>
          <w:tab w:val="left" w:pos="3855"/>
        </w:tabs>
        <w:spacing w:line="360" w:lineRule="auto"/>
        <w:outlineLvl w:val="2"/>
        <w:rPr>
          <w:rFonts w:ascii="宋体" w:hAnsi="宋体" w:cs="宋体"/>
          <w:szCs w:val="21"/>
        </w:rPr>
      </w:pPr>
      <w:r>
        <w:rPr>
          <w:rFonts w:hint="eastAsia" w:ascii="宋体" w:hAnsi="宋体" w:cs="宋体"/>
          <w:szCs w:val="21"/>
        </w:rPr>
        <w:t>17.5.3  除第17.5.4项约定的情况外，发包人和承包人应当在监理人颁发（出具）工程接收证书后56天内办清竣工结算和竣工付款。</w:t>
      </w:r>
    </w:p>
    <w:p w14:paraId="741AB8DA">
      <w:pPr>
        <w:tabs>
          <w:tab w:val="left" w:pos="3855"/>
        </w:tabs>
        <w:spacing w:line="360" w:lineRule="auto"/>
        <w:outlineLvl w:val="2"/>
        <w:rPr>
          <w:rFonts w:ascii="宋体" w:hAnsi="宋体" w:cs="宋体"/>
          <w:szCs w:val="21"/>
        </w:rPr>
      </w:pPr>
      <w:r>
        <w:rPr>
          <w:rFonts w:hint="eastAsia" w:ascii="宋体" w:hAnsi="宋体" w:cs="宋体"/>
          <w:szCs w:val="21"/>
        </w:rPr>
        <w:t>17.5.4  政府投资或者以政府投资为主的建设项目纳入审计项目计划的，发包人和承包人均负有配合、接受审计机关审计的义务，竣工结算应当依据审计结论，办清竣工结算和竣工付款的时间按照相关规定执行。</w:t>
      </w:r>
    </w:p>
    <w:p w14:paraId="40326D99">
      <w:pPr>
        <w:tabs>
          <w:tab w:val="left" w:pos="3855"/>
        </w:tabs>
        <w:spacing w:line="360" w:lineRule="auto"/>
        <w:outlineLvl w:val="1"/>
        <w:rPr>
          <w:rFonts w:ascii="宋体" w:hAnsi="宋体" w:cs="宋体"/>
          <w:szCs w:val="21"/>
        </w:rPr>
      </w:pPr>
      <w:bookmarkStart w:id="1938" w:name="_Toc490222607"/>
      <w:bookmarkStart w:id="1939" w:name="_Toc480486845"/>
      <w:bookmarkStart w:id="1940" w:name="_Toc480487017"/>
      <w:bookmarkStart w:id="1941" w:name="_Toc486580162"/>
      <w:bookmarkStart w:id="1942" w:name="_Toc489279973"/>
      <w:bookmarkStart w:id="1943" w:name="_Toc497456552"/>
      <w:bookmarkStart w:id="1944" w:name="_Toc483668191"/>
      <w:bookmarkStart w:id="1945" w:name="_Toc338944817"/>
      <w:bookmarkStart w:id="1946" w:name="_Toc342296375"/>
      <w:r>
        <w:rPr>
          <w:rFonts w:hint="eastAsia" w:ascii="宋体" w:hAnsi="宋体" w:cs="宋体"/>
          <w:szCs w:val="21"/>
        </w:rPr>
        <w:t>17.6  最终结清</w:t>
      </w:r>
      <w:bookmarkEnd w:id="1938"/>
      <w:bookmarkEnd w:id="1939"/>
      <w:bookmarkEnd w:id="1940"/>
      <w:bookmarkEnd w:id="1941"/>
      <w:bookmarkEnd w:id="1942"/>
      <w:bookmarkEnd w:id="1943"/>
      <w:bookmarkEnd w:id="1944"/>
      <w:bookmarkEnd w:id="1945"/>
      <w:bookmarkEnd w:id="1946"/>
    </w:p>
    <w:p w14:paraId="69A34E70">
      <w:pPr>
        <w:tabs>
          <w:tab w:val="left" w:pos="3855"/>
        </w:tabs>
        <w:spacing w:line="360" w:lineRule="auto"/>
        <w:outlineLvl w:val="2"/>
        <w:rPr>
          <w:rFonts w:ascii="宋体" w:hAnsi="宋体" w:cs="宋体"/>
          <w:szCs w:val="21"/>
        </w:rPr>
      </w:pPr>
      <w:r>
        <w:rPr>
          <w:rFonts w:hint="eastAsia" w:ascii="宋体" w:hAnsi="宋体" w:cs="宋体"/>
          <w:szCs w:val="21"/>
        </w:rPr>
        <w:t>17.6.1  最终结清申请单</w:t>
      </w:r>
    </w:p>
    <w:p w14:paraId="3904FFF2">
      <w:pPr>
        <w:tabs>
          <w:tab w:val="left" w:pos="3855"/>
        </w:tabs>
        <w:spacing w:line="360" w:lineRule="auto"/>
        <w:rPr>
          <w:rFonts w:ascii="宋体" w:hAnsi="宋体" w:cs="宋体"/>
          <w:szCs w:val="21"/>
        </w:rPr>
      </w:pPr>
      <w:r>
        <w:rPr>
          <w:rFonts w:hint="eastAsia" w:ascii="宋体" w:hAnsi="宋体" w:cs="宋体"/>
          <w:szCs w:val="21"/>
        </w:rPr>
        <w:t>（1）缺陷责任期终止证书签发后，承包人可按合同约定的份数和期限向监理人提交最终结清申请单，并提供相关证明材料。承包人提交最终结清申请单的份数和期限见合同条款专用部分。</w:t>
      </w:r>
    </w:p>
    <w:p w14:paraId="0FDBB7EA">
      <w:pPr>
        <w:tabs>
          <w:tab w:val="left" w:pos="3855"/>
        </w:tabs>
        <w:spacing w:line="360" w:lineRule="auto"/>
        <w:rPr>
          <w:rFonts w:ascii="宋体" w:hAnsi="宋体" w:cs="宋体"/>
          <w:szCs w:val="21"/>
        </w:rPr>
      </w:pPr>
      <w:r>
        <w:rPr>
          <w:rFonts w:hint="eastAsia" w:ascii="宋体" w:hAnsi="宋体" w:cs="宋体"/>
          <w:szCs w:val="21"/>
        </w:rPr>
        <w:t>发包人向承包人支付质量保证金利息的，承包人应按照约定的利息计算方法计算利息，并列入最终结清申请单中。是否支付质量保证金利息及利息计算方法见合同条款专用部分。</w:t>
      </w:r>
    </w:p>
    <w:p w14:paraId="7B2B4D0B">
      <w:pPr>
        <w:tabs>
          <w:tab w:val="left" w:pos="3855"/>
        </w:tabs>
        <w:spacing w:line="360" w:lineRule="auto"/>
        <w:rPr>
          <w:rFonts w:ascii="宋体" w:hAnsi="宋体" w:cs="宋体"/>
          <w:szCs w:val="21"/>
        </w:rPr>
      </w:pPr>
      <w:r>
        <w:rPr>
          <w:rFonts w:hint="eastAsia" w:ascii="宋体" w:hAnsi="宋体" w:cs="宋体"/>
          <w:szCs w:val="21"/>
        </w:rPr>
        <w:t>（2）发包人对最终结清申请单内容有异议的，有权要求承包人进行修正和提供补充资料，由承包人向监理人提交修正后的最终结清申请单。</w:t>
      </w:r>
    </w:p>
    <w:p w14:paraId="47379250">
      <w:pPr>
        <w:tabs>
          <w:tab w:val="left" w:pos="3855"/>
        </w:tabs>
        <w:spacing w:line="360" w:lineRule="auto"/>
        <w:outlineLvl w:val="2"/>
        <w:rPr>
          <w:rFonts w:ascii="宋体" w:hAnsi="宋体" w:cs="宋体"/>
          <w:szCs w:val="21"/>
        </w:rPr>
      </w:pPr>
      <w:r>
        <w:rPr>
          <w:rFonts w:hint="eastAsia" w:ascii="宋体" w:hAnsi="宋体" w:cs="宋体"/>
          <w:szCs w:val="21"/>
        </w:rPr>
        <w:t>17.6.2  最终结清证书和支付时间</w:t>
      </w:r>
    </w:p>
    <w:p w14:paraId="39F4CF85">
      <w:pPr>
        <w:tabs>
          <w:tab w:val="left" w:pos="3855"/>
        </w:tabs>
        <w:spacing w:line="360" w:lineRule="auto"/>
        <w:rPr>
          <w:rFonts w:ascii="宋体" w:hAnsi="宋体" w:cs="宋体"/>
          <w:szCs w:val="21"/>
        </w:rPr>
      </w:pPr>
      <w:r>
        <w:rPr>
          <w:rFonts w:hint="eastAsia" w:ascii="宋体" w:hAnsi="宋体" w:cs="宋体"/>
          <w:szCs w:val="21"/>
        </w:rPr>
        <w:t>（1）监理人收到承包人提交的最终结清申请单后的14天内，提出发包人应支付给承包人的价款等审核意见，并报送发包人审核。发包人应在收到后14天内审核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14:paraId="7FC9ED97">
      <w:pPr>
        <w:tabs>
          <w:tab w:val="left" w:pos="3855"/>
        </w:tabs>
        <w:spacing w:line="360" w:lineRule="auto"/>
        <w:rPr>
          <w:rFonts w:ascii="宋体" w:hAnsi="宋体" w:cs="宋体"/>
          <w:szCs w:val="21"/>
        </w:rPr>
      </w:pPr>
      <w:r>
        <w:rPr>
          <w:rFonts w:hint="eastAsia" w:ascii="宋体" w:hAnsi="宋体" w:cs="宋体"/>
          <w:szCs w:val="21"/>
        </w:rPr>
        <w:t>（2）发包人应在监理人出具最终结清证书后的14天内，将应支付款支付给承包人。发包人不按期支付的，按第17.3.3（2）目的约定，将逾期付款违约金支付给承包人。</w:t>
      </w:r>
    </w:p>
    <w:p w14:paraId="00ACB69E">
      <w:pPr>
        <w:tabs>
          <w:tab w:val="left" w:pos="3855"/>
        </w:tabs>
        <w:spacing w:line="360" w:lineRule="auto"/>
        <w:rPr>
          <w:rFonts w:ascii="宋体" w:hAnsi="宋体" w:cs="宋体"/>
          <w:szCs w:val="21"/>
        </w:rPr>
      </w:pPr>
      <w:r>
        <w:rPr>
          <w:rFonts w:hint="eastAsia" w:ascii="宋体" w:hAnsi="宋体" w:cs="宋体"/>
          <w:szCs w:val="21"/>
        </w:rPr>
        <w:t>（3）承包人对发包人签认的最终结清证书有异议的，按第24条“争议的解决”的约定办理。</w:t>
      </w:r>
    </w:p>
    <w:p w14:paraId="7CE66924">
      <w:pPr>
        <w:tabs>
          <w:tab w:val="left" w:pos="3855"/>
        </w:tabs>
        <w:spacing w:line="360" w:lineRule="auto"/>
        <w:rPr>
          <w:rFonts w:ascii="宋体" w:hAnsi="宋体" w:cs="宋体"/>
          <w:szCs w:val="21"/>
        </w:rPr>
      </w:pPr>
      <w:r>
        <w:rPr>
          <w:rFonts w:hint="eastAsia" w:ascii="宋体" w:hAnsi="宋体" w:cs="宋体"/>
          <w:szCs w:val="21"/>
        </w:rPr>
        <w:t>（4）最终结清付款涉及政府投资资金的，按第17.3.3（4）目的约定办理。</w:t>
      </w:r>
    </w:p>
    <w:p w14:paraId="2E5C8E8E">
      <w:pPr>
        <w:tabs>
          <w:tab w:val="left" w:pos="3855"/>
        </w:tabs>
        <w:spacing w:line="360" w:lineRule="auto"/>
        <w:outlineLvl w:val="0"/>
        <w:rPr>
          <w:rFonts w:ascii="宋体" w:hAnsi="宋体" w:cs="宋体"/>
          <w:szCs w:val="21"/>
        </w:rPr>
      </w:pPr>
      <w:bookmarkStart w:id="1947" w:name="_Toc342296376"/>
      <w:bookmarkStart w:id="1948" w:name="_Toc480486846"/>
      <w:bookmarkStart w:id="1949" w:name="_Toc490222608"/>
      <w:bookmarkStart w:id="1950" w:name="_Toc480487018"/>
      <w:bookmarkStart w:id="1951" w:name="_Toc483668192"/>
      <w:bookmarkStart w:id="1952" w:name="_Toc497456553"/>
      <w:bookmarkStart w:id="1953" w:name="_Toc338944818"/>
      <w:bookmarkStart w:id="1954" w:name="_Toc489279974"/>
      <w:bookmarkStart w:id="1955" w:name="_Toc486580163"/>
      <w:r>
        <w:rPr>
          <w:rFonts w:hint="eastAsia" w:ascii="宋体" w:hAnsi="宋体" w:cs="宋体"/>
          <w:szCs w:val="21"/>
        </w:rPr>
        <w:t>18.竣工验收</w:t>
      </w:r>
      <w:bookmarkEnd w:id="1947"/>
      <w:bookmarkEnd w:id="1948"/>
      <w:bookmarkEnd w:id="1949"/>
      <w:bookmarkEnd w:id="1950"/>
      <w:bookmarkEnd w:id="1951"/>
      <w:bookmarkEnd w:id="1952"/>
      <w:bookmarkEnd w:id="1953"/>
      <w:bookmarkEnd w:id="1954"/>
      <w:bookmarkEnd w:id="1955"/>
    </w:p>
    <w:p w14:paraId="2FD5A1FF">
      <w:pPr>
        <w:tabs>
          <w:tab w:val="left" w:pos="3855"/>
        </w:tabs>
        <w:spacing w:line="360" w:lineRule="auto"/>
        <w:outlineLvl w:val="1"/>
        <w:rPr>
          <w:rFonts w:ascii="宋体" w:hAnsi="宋体" w:cs="宋体"/>
          <w:szCs w:val="21"/>
        </w:rPr>
      </w:pPr>
      <w:bookmarkStart w:id="1956" w:name="_Toc490222609"/>
      <w:bookmarkStart w:id="1957" w:name="_Toc152045726"/>
      <w:bookmarkStart w:id="1958" w:name="_Toc483668193"/>
      <w:bookmarkStart w:id="1959" w:name="_Toc486580164"/>
      <w:bookmarkStart w:id="1960" w:name="_Toc480486847"/>
      <w:bookmarkStart w:id="1961" w:name="_Toc489279975"/>
      <w:bookmarkStart w:id="1962" w:name="_Toc338944819"/>
      <w:bookmarkStart w:id="1963" w:name="_Toc144974697"/>
      <w:bookmarkStart w:id="1964" w:name="_Toc342296377"/>
      <w:bookmarkStart w:id="1965" w:name="_Toc179632744"/>
      <w:bookmarkStart w:id="1966" w:name="_Toc480487019"/>
      <w:bookmarkStart w:id="1967" w:name="_Toc497456554"/>
      <w:bookmarkStart w:id="1968" w:name="_Toc152042505"/>
      <w:r>
        <w:rPr>
          <w:rFonts w:hint="eastAsia" w:ascii="宋体" w:hAnsi="宋体" w:cs="宋体"/>
          <w:szCs w:val="21"/>
        </w:rPr>
        <w:t>18.1  竣工验收的含义</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p>
    <w:p w14:paraId="31B48742">
      <w:pPr>
        <w:tabs>
          <w:tab w:val="left" w:pos="3855"/>
        </w:tabs>
        <w:spacing w:line="360" w:lineRule="auto"/>
        <w:outlineLvl w:val="2"/>
        <w:rPr>
          <w:rFonts w:ascii="宋体" w:hAnsi="宋体" w:cs="宋体"/>
          <w:szCs w:val="21"/>
        </w:rPr>
      </w:pPr>
      <w:r>
        <w:rPr>
          <w:rFonts w:hint="eastAsia" w:ascii="宋体" w:hAnsi="宋体" w:cs="宋体"/>
          <w:szCs w:val="21"/>
        </w:rPr>
        <w:t>18.1.1  竣工验收指承包人完成了全部合同工作后，发包人按合同要求进行的验收。</w:t>
      </w:r>
    </w:p>
    <w:p w14:paraId="75B5BDB9">
      <w:pPr>
        <w:tabs>
          <w:tab w:val="left" w:pos="3855"/>
        </w:tabs>
        <w:spacing w:line="360" w:lineRule="auto"/>
        <w:outlineLvl w:val="2"/>
        <w:rPr>
          <w:rFonts w:ascii="宋体" w:hAnsi="宋体" w:cs="宋体"/>
          <w:szCs w:val="21"/>
        </w:rPr>
      </w:pPr>
      <w:r>
        <w:rPr>
          <w:rFonts w:hint="eastAsia" w:ascii="宋体" w:hAnsi="宋体" w:cs="宋体"/>
          <w:szCs w:val="21"/>
        </w:rPr>
        <w:t>18.1.2  国家验收是政府有关部门根据法律、规范、规程和政策要求，针对发包人全面组织实施的整个工程正式交付投运前的验收。</w:t>
      </w:r>
    </w:p>
    <w:p w14:paraId="583C5EBD">
      <w:pPr>
        <w:tabs>
          <w:tab w:val="left" w:pos="3855"/>
        </w:tabs>
        <w:spacing w:line="360" w:lineRule="auto"/>
        <w:outlineLvl w:val="2"/>
        <w:rPr>
          <w:rFonts w:ascii="宋体" w:hAnsi="宋体" w:cs="宋体"/>
          <w:szCs w:val="21"/>
        </w:rPr>
      </w:pPr>
      <w:r>
        <w:rPr>
          <w:rFonts w:hint="eastAsia" w:ascii="宋体" w:hAnsi="宋体" w:cs="宋体"/>
          <w:szCs w:val="21"/>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1F0B4E4E">
      <w:pPr>
        <w:tabs>
          <w:tab w:val="left" w:pos="3855"/>
        </w:tabs>
        <w:spacing w:line="360" w:lineRule="auto"/>
        <w:outlineLvl w:val="1"/>
        <w:rPr>
          <w:rFonts w:ascii="宋体" w:hAnsi="宋体" w:cs="宋体"/>
          <w:szCs w:val="21"/>
        </w:rPr>
      </w:pPr>
      <w:bookmarkStart w:id="1969" w:name="_Toc489279976"/>
      <w:bookmarkStart w:id="1970" w:name="_Toc338944820"/>
      <w:bookmarkStart w:id="1971" w:name="_Toc486580165"/>
      <w:bookmarkStart w:id="1972" w:name="_Toc490222610"/>
      <w:bookmarkStart w:id="1973" w:name="_Toc497456555"/>
      <w:bookmarkStart w:id="1974" w:name="_Toc480487020"/>
      <w:bookmarkStart w:id="1975" w:name="_Toc480486848"/>
      <w:bookmarkStart w:id="1976" w:name="_Toc483668194"/>
      <w:bookmarkStart w:id="1977" w:name="_Toc342296378"/>
      <w:r>
        <w:rPr>
          <w:rFonts w:hint="eastAsia" w:ascii="宋体" w:hAnsi="宋体" w:cs="宋体"/>
          <w:szCs w:val="21"/>
        </w:rPr>
        <w:t>18.2  竣工验收申请报告</w:t>
      </w:r>
      <w:bookmarkEnd w:id="1969"/>
      <w:bookmarkEnd w:id="1970"/>
      <w:bookmarkEnd w:id="1971"/>
      <w:bookmarkEnd w:id="1972"/>
      <w:bookmarkEnd w:id="1973"/>
      <w:bookmarkEnd w:id="1974"/>
      <w:bookmarkEnd w:id="1975"/>
      <w:bookmarkEnd w:id="1976"/>
      <w:bookmarkEnd w:id="1977"/>
    </w:p>
    <w:p w14:paraId="0FC7D16B">
      <w:pPr>
        <w:tabs>
          <w:tab w:val="left" w:pos="3855"/>
        </w:tabs>
        <w:spacing w:line="360" w:lineRule="auto"/>
        <w:rPr>
          <w:rFonts w:ascii="宋体" w:hAnsi="宋体" w:cs="宋体"/>
          <w:szCs w:val="21"/>
        </w:rPr>
      </w:pPr>
      <w:r>
        <w:rPr>
          <w:rFonts w:hint="eastAsia" w:ascii="宋体" w:hAnsi="宋体" w:cs="宋体"/>
          <w:szCs w:val="21"/>
        </w:rPr>
        <w:t>当工程具备以下条件时，承包人即可向监理人报送竣工验收申请报告：</w:t>
      </w:r>
    </w:p>
    <w:p w14:paraId="7FB9A97E">
      <w:pPr>
        <w:tabs>
          <w:tab w:val="left" w:pos="3855"/>
        </w:tabs>
        <w:spacing w:line="360" w:lineRule="auto"/>
        <w:rPr>
          <w:rFonts w:ascii="宋体" w:hAnsi="宋体" w:cs="宋体"/>
          <w:szCs w:val="21"/>
        </w:rPr>
      </w:pPr>
      <w:r>
        <w:rPr>
          <w:rFonts w:hint="eastAsia" w:ascii="宋体" w:hAnsi="宋体" w:cs="宋体"/>
          <w:szCs w:val="21"/>
        </w:rPr>
        <w:t>（1）除监理人同意列入缺陷责任期内完成的尾工（甩项）工程和缺陷修补工作外，合同范围内的全部单位工程以及有关工作，包括合同要求的试验、试运行以及检验和验收均已完成，并符合合同要求；</w:t>
      </w:r>
    </w:p>
    <w:p w14:paraId="10A84CC0">
      <w:pPr>
        <w:tabs>
          <w:tab w:val="left" w:pos="3855"/>
        </w:tabs>
        <w:spacing w:line="360" w:lineRule="auto"/>
        <w:rPr>
          <w:rFonts w:ascii="宋体" w:hAnsi="宋体" w:cs="宋体"/>
          <w:szCs w:val="21"/>
        </w:rPr>
      </w:pPr>
      <w:r>
        <w:rPr>
          <w:rFonts w:hint="eastAsia" w:ascii="宋体" w:hAnsi="宋体" w:cs="宋体"/>
          <w:szCs w:val="21"/>
        </w:rPr>
        <w:t>（2）承包人负责整理和提交的竣工验收资料应当符合工程所在地建设行政主管部门和（或）城市建设档案管理机构有关施工资料的要求，同时已按合同条款专用部分约定备齐了符合要求的竣工资料。竣工验收资料的内容和份数以及费用支付方式见合同条款专用部分。</w:t>
      </w:r>
    </w:p>
    <w:p w14:paraId="23950C89">
      <w:pPr>
        <w:tabs>
          <w:tab w:val="left" w:pos="3855"/>
        </w:tabs>
        <w:spacing w:line="360" w:lineRule="auto"/>
        <w:rPr>
          <w:rFonts w:ascii="宋体" w:hAnsi="宋体" w:cs="宋体"/>
          <w:szCs w:val="21"/>
        </w:rPr>
      </w:pPr>
      <w:r>
        <w:rPr>
          <w:rFonts w:hint="eastAsia" w:ascii="宋体" w:hAnsi="宋体" w:cs="宋体"/>
          <w:szCs w:val="21"/>
        </w:rPr>
        <w:t>（3）已按监理人的要求编制了在缺陷责任期内需完成的尾工（甩项）工程，和缺陷修补工作清单等相应施工计划；</w:t>
      </w:r>
    </w:p>
    <w:p w14:paraId="280EB2BF">
      <w:pPr>
        <w:tabs>
          <w:tab w:val="left" w:pos="3855"/>
        </w:tabs>
        <w:spacing w:line="360" w:lineRule="auto"/>
        <w:rPr>
          <w:rFonts w:ascii="宋体" w:hAnsi="宋体" w:cs="宋体"/>
          <w:szCs w:val="21"/>
        </w:rPr>
      </w:pPr>
      <w:r>
        <w:rPr>
          <w:rFonts w:hint="eastAsia" w:ascii="宋体" w:hAnsi="宋体" w:cs="宋体"/>
          <w:szCs w:val="21"/>
        </w:rPr>
        <w:t>（4）监理人要求在竣工验收前应完成的其他工作；</w:t>
      </w:r>
    </w:p>
    <w:p w14:paraId="56EC0E18">
      <w:pPr>
        <w:tabs>
          <w:tab w:val="left" w:pos="3855"/>
        </w:tabs>
        <w:spacing w:line="360" w:lineRule="auto"/>
        <w:rPr>
          <w:rFonts w:ascii="宋体" w:hAnsi="宋体" w:cs="宋体"/>
          <w:szCs w:val="21"/>
        </w:rPr>
      </w:pPr>
      <w:r>
        <w:rPr>
          <w:rFonts w:hint="eastAsia" w:ascii="宋体" w:hAnsi="宋体" w:cs="宋体"/>
          <w:szCs w:val="21"/>
        </w:rPr>
        <w:t>（5）监理人要求提交的竣工验收资料清单。</w:t>
      </w:r>
    </w:p>
    <w:p w14:paraId="38E59E36">
      <w:pPr>
        <w:tabs>
          <w:tab w:val="left" w:pos="3855"/>
        </w:tabs>
        <w:spacing w:line="360" w:lineRule="auto"/>
        <w:outlineLvl w:val="1"/>
        <w:rPr>
          <w:rFonts w:ascii="宋体" w:hAnsi="宋体" w:cs="宋体"/>
          <w:szCs w:val="21"/>
        </w:rPr>
      </w:pPr>
      <w:bookmarkStart w:id="1978" w:name="_Toc486580166"/>
      <w:bookmarkStart w:id="1979" w:name="_Toc480487021"/>
      <w:bookmarkStart w:id="1980" w:name="_Toc342296379"/>
      <w:bookmarkStart w:id="1981" w:name="_Toc497456556"/>
      <w:bookmarkStart w:id="1982" w:name="_Toc338944821"/>
      <w:bookmarkStart w:id="1983" w:name="_Toc489279977"/>
      <w:bookmarkStart w:id="1984" w:name="_Toc480486849"/>
      <w:bookmarkStart w:id="1985" w:name="_Toc483668195"/>
      <w:bookmarkStart w:id="1986" w:name="_Toc490222611"/>
      <w:r>
        <w:rPr>
          <w:rFonts w:hint="eastAsia" w:ascii="宋体" w:hAnsi="宋体" w:cs="宋体"/>
          <w:szCs w:val="21"/>
        </w:rPr>
        <w:t>18.3  验收</w:t>
      </w:r>
      <w:bookmarkEnd w:id="1978"/>
      <w:bookmarkEnd w:id="1979"/>
      <w:bookmarkEnd w:id="1980"/>
      <w:bookmarkEnd w:id="1981"/>
      <w:bookmarkEnd w:id="1982"/>
      <w:bookmarkEnd w:id="1983"/>
      <w:bookmarkEnd w:id="1984"/>
      <w:bookmarkEnd w:id="1985"/>
      <w:bookmarkEnd w:id="1986"/>
    </w:p>
    <w:p w14:paraId="5BF3623F">
      <w:pPr>
        <w:tabs>
          <w:tab w:val="left" w:pos="3855"/>
        </w:tabs>
        <w:spacing w:line="360" w:lineRule="auto"/>
        <w:rPr>
          <w:rFonts w:ascii="宋体" w:hAnsi="宋体" w:cs="宋体"/>
          <w:szCs w:val="21"/>
        </w:rPr>
      </w:pPr>
      <w:r>
        <w:rPr>
          <w:rFonts w:hint="eastAsia" w:ascii="宋体" w:hAnsi="宋体" w:cs="宋体"/>
          <w:szCs w:val="21"/>
        </w:rPr>
        <w:t>监理人收到承包人按第18.2款约定提交的竣工验收申请报告后，应审查申请报告的各项内容，并按以下不同情况进行处理。</w:t>
      </w:r>
    </w:p>
    <w:p w14:paraId="230CE28E">
      <w:pPr>
        <w:tabs>
          <w:tab w:val="left" w:pos="3855"/>
        </w:tabs>
        <w:spacing w:line="360" w:lineRule="auto"/>
        <w:outlineLvl w:val="2"/>
        <w:rPr>
          <w:rFonts w:ascii="宋体" w:hAnsi="宋体" w:cs="宋体"/>
          <w:szCs w:val="21"/>
        </w:rPr>
      </w:pPr>
      <w:r>
        <w:rPr>
          <w:rFonts w:hint="eastAsia" w:ascii="宋体" w:hAnsi="宋体" w:cs="宋体"/>
          <w:szCs w:val="21"/>
        </w:rPr>
        <w:t>18.3.1  监理人审查后认为尚不具备竣工验收条件的，应在收到竣工验收申请报告后的28天内通知承包人，并指出在颁发接收证书前承包人需进行的工作内容。承包人完成监理人通知的全部工作内容后，应再次提交竣工验收申请报告，直至监理人同意为止。</w:t>
      </w:r>
    </w:p>
    <w:p w14:paraId="405C28FE">
      <w:pPr>
        <w:tabs>
          <w:tab w:val="left" w:pos="3855"/>
        </w:tabs>
        <w:spacing w:line="360" w:lineRule="auto"/>
        <w:outlineLvl w:val="2"/>
        <w:rPr>
          <w:rFonts w:ascii="宋体" w:hAnsi="宋体" w:cs="宋体"/>
          <w:szCs w:val="21"/>
        </w:rPr>
      </w:pPr>
      <w:r>
        <w:rPr>
          <w:rFonts w:hint="eastAsia" w:ascii="宋体" w:hAnsi="宋体" w:cs="宋体"/>
          <w:szCs w:val="21"/>
        </w:rPr>
        <w:t>18.3.2  监理人审查后认为已具备竣工验收条件的，应在收到竣工验收申请报告后的28天内提请发包人进行工程验收。</w:t>
      </w:r>
    </w:p>
    <w:p w14:paraId="2A9D7616">
      <w:pPr>
        <w:tabs>
          <w:tab w:val="left" w:pos="3855"/>
        </w:tabs>
        <w:spacing w:line="360" w:lineRule="auto"/>
        <w:outlineLvl w:val="2"/>
        <w:rPr>
          <w:rFonts w:ascii="宋体" w:hAnsi="宋体" w:cs="宋体"/>
          <w:szCs w:val="21"/>
        </w:rPr>
      </w:pPr>
      <w:r>
        <w:rPr>
          <w:rFonts w:hint="eastAsia" w:ascii="宋体" w:hAnsi="宋体" w:cs="宋体"/>
          <w:szCs w:val="21"/>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75C7ED5A">
      <w:pPr>
        <w:tabs>
          <w:tab w:val="left" w:pos="3855"/>
        </w:tabs>
        <w:spacing w:line="360" w:lineRule="auto"/>
        <w:outlineLvl w:val="2"/>
        <w:rPr>
          <w:rFonts w:ascii="宋体" w:hAnsi="宋体" w:cs="宋体"/>
          <w:szCs w:val="21"/>
        </w:rPr>
      </w:pPr>
      <w:r>
        <w:rPr>
          <w:rFonts w:hint="eastAsia" w:ascii="宋体" w:hAnsi="宋体" w:cs="宋体"/>
          <w:szCs w:val="21"/>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11E97ADA">
      <w:pPr>
        <w:tabs>
          <w:tab w:val="left" w:pos="3855"/>
        </w:tabs>
        <w:spacing w:line="360" w:lineRule="auto"/>
        <w:outlineLvl w:val="2"/>
        <w:rPr>
          <w:rFonts w:ascii="宋体" w:hAnsi="宋体" w:cs="宋体"/>
          <w:szCs w:val="21"/>
        </w:rPr>
      </w:pPr>
      <w:r>
        <w:rPr>
          <w:rFonts w:hint="eastAsia" w:ascii="宋体" w:hAnsi="宋体" w:cs="宋体"/>
          <w:szCs w:val="21"/>
        </w:rPr>
        <w:t>18.3.5  经验收合格的工程, 实际竣工日期为承包人按照第18.2款提交竣工验收申请报告或按照本款重新提交竣工验收申请报告的日期（以两者中时间在后者为准）。</w:t>
      </w:r>
    </w:p>
    <w:p w14:paraId="451AB910">
      <w:pPr>
        <w:tabs>
          <w:tab w:val="left" w:pos="3855"/>
        </w:tabs>
        <w:spacing w:line="360" w:lineRule="auto"/>
        <w:outlineLvl w:val="1"/>
        <w:rPr>
          <w:rFonts w:ascii="宋体" w:hAnsi="宋体" w:cs="宋体"/>
          <w:szCs w:val="21"/>
        </w:rPr>
      </w:pPr>
      <w:bookmarkStart w:id="1987" w:name="_Toc490222612"/>
      <w:bookmarkStart w:id="1988" w:name="_Toc338944822"/>
      <w:bookmarkStart w:id="1989" w:name="_Toc483668196"/>
      <w:bookmarkStart w:id="1990" w:name="_Toc497456557"/>
      <w:bookmarkStart w:id="1991" w:name="_Toc144974700"/>
      <w:bookmarkStart w:id="1992" w:name="_Toc152045729"/>
      <w:bookmarkStart w:id="1993" w:name="_Toc480487022"/>
      <w:bookmarkStart w:id="1994" w:name="_Toc480486850"/>
      <w:bookmarkStart w:id="1995" w:name="_Toc152042508"/>
      <w:bookmarkStart w:id="1996" w:name="_Toc342296380"/>
      <w:bookmarkStart w:id="1997" w:name="_Toc489279978"/>
      <w:bookmarkStart w:id="1998" w:name="_Toc179632747"/>
      <w:bookmarkStart w:id="1999" w:name="_Toc486580167"/>
      <w:r>
        <w:rPr>
          <w:rFonts w:hint="eastAsia" w:ascii="宋体" w:hAnsi="宋体" w:cs="宋体"/>
          <w:szCs w:val="21"/>
        </w:rPr>
        <w:t>18.4  单位工程验收</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14:paraId="2D3A79AC">
      <w:pPr>
        <w:tabs>
          <w:tab w:val="left" w:pos="3855"/>
        </w:tabs>
        <w:spacing w:line="360" w:lineRule="auto"/>
        <w:outlineLvl w:val="2"/>
        <w:rPr>
          <w:rFonts w:ascii="宋体" w:hAnsi="宋体" w:cs="宋体"/>
          <w:szCs w:val="21"/>
        </w:rPr>
      </w:pPr>
      <w:r>
        <w:rPr>
          <w:rFonts w:hint="eastAsia" w:ascii="宋体" w:hAnsi="宋体" w:cs="宋体"/>
          <w:szCs w:val="21"/>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375A93AD">
      <w:pPr>
        <w:tabs>
          <w:tab w:val="left" w:pos="3855"/>
        </w:tabs>
        <w:spacing w:line="360" w:lineRule="auto"/>
        <w:outlineLvl w:val="2"/>
        <w:rPr>
          <w:rFonts w:ascii="宋体" w:hAnsi="宋体" w:cs="宋体"/>
          <w:szCs w:val="21"/>
        </w:rPr>
      </w:pPr>
      <w:r>
        <w:rPr>
          <w:rFonts w:hint="eastAsia" w:ascii="宋体" w:hAnsi="宋体" w:cs="宋体"/>
          <w:szCs w:val="21"/>
        </w:rPr>
        <w:t>18.4.2  发包人在全部工程竣工前，使用已接收的单位工程导致承包人费用增加的，发包人应承担由此增加的费用和（或）工期延误，。</w:t>
      </w:r>
    </w:p>
    <w:p w14:paraId="28E025AC">
      <w:pPr>
        <w:tabs>
          <w:tab w:val="left" w:pos="3855"/>
        </w:tabs>
        <w:spacing w:line="360" w:lineRule="auto"/>
        <w:outlineLvl w:val="1"/>
        <w:rPr>
          <w:rFonts w:ascii="宋体" w:hAnsi="宋体" w:cs="宋体"/>
          <w:szCs w:val="21"/>
        </w:rPr>
      </w:pPr>
      <w:bookmarkStart w:id="2000" w:name="_Toc338944823"/>
      <w:bookmarkStart w:id="2001" w:name="_Toc342296381"/>
      <w:bookmarkStart w:id="2002" w:name="_Toc489279979"/>
      <w:bookmarkStart w:id="2003" w:name="_Toc497456558"/>
      <w:bookmarkStart w:id="2004" w:name="_Toc490222613"/>
      <w:bookmarkStart w:id="2005" w:name="_Toc486580168"/>
      <w:bookmarkStart w:id="2006" w:name="_Toc480487023"/>
      <w:bookmarkStart w:id="2007" w:name="_Toc483668197"/>
      <w:bookmarkStart w:id="2008" w:name="_Toc480486851"/>
      <w:r>
        <w:rPr>
          <w:rFonts w:hint="eastAsia" w:ascii="宋体" w:hAnsi="宋体" w:cs="宋体"/>
          <w:szCs w:val="21"/>
        </w:rPr>
        <w:t>18.5  施工期运行</w:t>
      </w:r>
      <w:bookmarkEnd w:id="2000"/>
      <w:bookmarkEnd w:id="2001"/>
      <w:bookmarkEnd w:id="2002"/>
      <w:bookmarkEnd w:id="2003"/>
      <w:bookmarkEnd w:id="2004"/>
      <w:bookmarkEnd w:id="2005"/>
      <w:bookmarkEnd w:id="2006"/>
      <w:bookmarkEnd w:id="2007"/>
      <w:bookmarkEnd w:id="2008"/>
    </w:p>
    <w:p w14:paraId="3A11F873">
      <w:pPr>
        <w:tabs>
          <w:tab w:val="left" w:pos="3855"/>
        </w:tabs>
        <w:spacing w:line="360" w:lineRule="auto"/>
        <w:outlineLvl w:val="2"/>
        <w:rPr>
          <w:rFonts w:ascii="宋体" w:hAnsi="宋体" w:cs="宋体"/>
          <w:szCs w:val="21"/>
        </w:rPr>
      </w:pPr>
      <w:r>
        <w:rPr>
          <w:rFonts w:hint="eastAsia" w:ascii="宋体" w:hAnsi="宋体" w:cs="宋体"/>
          <w:szCs w:val="21"/>
        </w:rPr>
        <w:t>18.5.1  施工期运行是指合同工程尚未全部竣工，其中某项或某几项单位工程或工程设备安装已竣工，根据合同条款专用部分约定，需要投入施工期运行的，经发包人按第18.4款的约定验收合格，证明能确保安全后，才能在施工期投入运行。</w:t>
      </w:r>
    </w:p>
    <w:p w14:paraId="5E7519C2">
      <w:pPr>
        <w:tabs>
          <w:tab w:val="left" w:pos="3855"/>
        </w:tabs>
        <w:spacing w:line="360" w:lineRule="auto"/>
        <w:outlineLvl w:val="2"/>
        <w:rPr>
          <w:rFonts w:ascii="宋体" w:hAnsi="宋体" w:cs="宋体"/>
          <w:szCs w:val="21"/>
        </w:rPr>
      </w:pPr>
      <w:r>
        <w:rPr>
          <w:rFonts w:hint="eastAsia" w:ascii="宋体" w:hAnsi="宋体" w:cs="宋体"/>
          <w:szCs w:val="21"/>
        </w:rPr>
        <w:t>18.5.2  在施工期运行中发现工程或工程设备损坏或存在缺陷的，由承包人按第19.2款约定进行修复。</w:t>
      </w:r>
    </w:p>
    <w:p w14:paraId="4D6A1A57">
      <w:pPr>
        <w:tabs>
          <w:tab w:val="left" w:pos="3855"/>
        </w:tabs>
        <w:spacing w:line="360" w:lineRule="auto"/>
        <w:outlineLvl w:val="1"/>
        <w:rPr>
          <w:rFonts w:ascii="宋体" w:hAnsi="宋体" w:cs="宋体"/>
          <w:szCs w:val="21"/>
        </w:rPr>
      </w:pPr>
      <w:bookmarkStart w:id="2009" w:name="_Toc497456559"/>
      <w:bookmarkStart w:id="2010" w:name="_Toc342296382"/>
      <w:bookmarkStart w:id="2011" w:name="_Toc490222614"/>
      <w:bookmarkStart w:id="2012" w:name="_Toc338944824"/>
      <w:bookmarkStart w:id="2013" w:name="_Toc486580169"/>
      <w:bookmarkStart w:id="2014" w:name="_Toc480487024"/>
      <w:bookmarkStart w:id="2015" w:name="_Toc480486852"/>
      <w:bookmarkStart w:id="2016" w:name="_Toc489279980"/>
      <w:bookmarkStart w:id="2017" w:name="_Toc483668198"/>
      <w:r>
        <w:rPr>
          <w:rFonts w:hint="eastAsia" w:ascii="宋体" w:hAnsi="宋体" w:cs="宋体"/>
          <w:szCs w:val="21"/>
        </w:rPr>
        <w:t>18.6  试运行</w:t>
      </w:r>
      <w:bookmarkEnd w:id="2009"/>
      <w:bookmarkEnd w:id="2010"/>
      <w:bookmarkEnd w:id="2011"/>
      <w:bookmarkEnd w:id="2012"/>
      <w:bookmarkEnd w:id="2013"/>
      <w:bookmarkEnd w:id="2014"/>
      <w:bookmarkEnd w:id="2015"/>
      <w:bookmarkEnd w:id="2016"/>
      <w:bookmarkEnd w:id="2017"/>
    </w:p>
    <w:p w14:paraId="7A8166E6">
      <w:pPr>
        <w:tabs>
          <w:tab w:val="left" w:pos="3855"/>
        </w:tabs>
        <w:spacing w:line="360" w:lineRule="auto"/>
        <w:outlineLvl w:val="2"/>
        <w:rPr>
          <w:rFonts w:ascii="宋体" w:hAnsi="宋体" w:cs="宋体"/>
          <w:szCs w:val="21"/>
        </w:rPr>
      </w:pPr>
      <w:r>
        <w:rPr>
          <w:rFonts w:hint="eastAsia" w:ascii="宋体" w:hAnsi="宋体" w:cs="宋体"/>
          <w:szCs w:val="21"/>
        </w:rPr>
        <w:t>18.6.1  工程及工程设备试运行的组织与费用承担</w:t>
      </w:r>
    </w:p>
    <w:p w14:paraId="515589F4">
      <w:pPr>
        <w:tabs>
          <w:tab w:val="left" w:pos="3855"/>
        </w:tabs>
        <w:spacing w:line="360" w:lineRule="auto"/>
        <w:rPr>
          <w:rFonts w:ascii="宋体" w:hAnsi="宋体" w:cs="宋体"/>
          <w:szCs w:val="21"/>
        </w:rPr>
      </w:pPr>
      <w:r>
        <w:rPr>
          <w:rFonts w:hint="eastAsia" w:ascii="宋体" w:hAnsi="宋体" w:cs="宋体"/>
          <w:szCs w:val="21"/>
        </w:rPr>
        <w:t>（1）工程设备安装具备单机无负荷试运行条件，由承包人组织试运行，费用由承包人承担。</w:t>
      </w:r>
    </w:p>
    <w:p w14:paraId="599A2DFB">
      <w:pPr>
        <w:tabs>
          <w:tab w:val="left" w:pos="3855"/>
        </w:tabs>
        <w:spacing w:line="360" w:lineRule="auto"/>
        <w:rPr>
          <w:rFonts w:ascii="宋体" w:hAnsi="宋体" w:cs="宋体"/>
          <w:szCs w:val="21"/>
        </w:rPr>
      </w:pPr>
      <w:r>
        <w:rPr>
          <w:rFonts w:hint="eastAsia" w:ascii="宋体" w:hAnsi="宋体" w:cs="宋体"/>
          <w:szCs w:val="21"/>
        </w:rPr>
        <w:t>（2）工程设备安装具备无负荷联动试运行条件，由发包人组织试运行，费用由发包人承担。</w:t>
      </w:r>
    </w:p>
    <w:p w14:paraId="0AE2D5F2">
      <w:pPr>
        <w:tabs>
          <w:tab w:val="left" w:pos="3855"/>
        </w:tabs>
        <w:spacing w:line="360" w:lineRule="auto"/>
        <w:rPr>
          <w:rFonts w:ascii="宋体" w:hAnsi="宋体" w:cs="宋体"/>
          <w:szCs w:val="21"/>
        </w:rPr>
      </w:pPr>
      <w:r>
        <w:rPr>
          <w:rFonts w:hint="eastAsia" w:ascii="宋体" w:hAnsi="宋体" w:cs="宋体"/>
          <w:szCs w:val="21"/>
        </w:rPr>
        <w:t>（3）投料试运行应在工程竣工验收后由发包人负责，如发包人要求在工程竣工验收前进行或需要承包人配合时，应征得承包人同意，另行签订补充协议。</w:t>
      </w:r>
    </w:p>
    <w:p w14:paraId="3B365DA3">
      <w:pPr>
        <w:tabs>
          <w:tab w:val="left" w:pos="3855"/>
        </w:tabs>
        <w:spacing w:line="360" w:lineRule="auto"/>
        <w:outlineLvl w:val="2"/>
        <w:rPr>
          <w:rFonts w:ascii="宋体" w:hAnsi="宋体" w:cs="宋体"/>
          <w:szCs w:val="21"/>
        </w:rPr>
      </w:pPr>
      <w:r>
        <w:rPr>
          <w:rFonts w:hint="eastAsia" w:ascii="宋体" w:hAnsi="宋体" w:cs="宋体"/>
          <w:szCs w:val="21"/>
        </w:rPr>
        <w:t>18.6.2  由于承包人的原因导致试运行失败的，承包人应采取措施保证试运行合格，并承担相应费用。由于发包人的原因导致试运行失败的，承包人应当采取措施保证试运行合格，发包人应承担由此产生的费用，。</w:t>
      </w:r>
    </w:p>
    <w:p w14:paraId="2FB2FCF3">
      <w:pPr>
        <w:tabs>
          <w:tab w:val="left" w:pos="3855"/>
        </w:tabs>
        <w:spacing w:line="360" w:lineRule="auto"/>
        <w:outlineLvl w:val="1"/>
        <w:rPr>
          <w:rFonts w:ascii="宋体" w:hAnsi="宋体" w:cs="宋体"/>
          <w:szCs w:val="21"/>
        </w:rPr>
      </w:pPr>
      <w:bookmarkStart w:id="2018" w:name="_Toc480487025"/>
      <w:bookmarkStart w:id="2019" w:name="_Toc490222615"/>
      <w:bookmarkStart w:id="2020" w:name="_Toc497456560"/>
      <w:bookmarkStart w:id="2021" w:name="_Toc486580170"/>
      <w:bookmarkStart w:id="2022" w:name="_Toc489279981"/>
      <w:bookmarkStart w:id="2023" w:name="_Toc480486853"/>
      <w:bookmarkStart w:id="2024" w:name="_Toc342296383"/>
      <w:bookmarkStart w:id="2025" w:name="_Toc483668199"/>
      <w:bookmarkStart w:id="2026" w:name="_Toc338944825"/>
      <w:r>
        <w:rPr>
          <w:rFonts w:hint="eastAsia" w:ascii="宋体" w:hAnsi="宋体" w:cs="宋体"/>
          <w:szCs w:val="21"/>
        </w:rPr>
        <w:t>18.7  竣工清场</w:t>
      </w:r>
      <w:bookmarkEnd w:id="2018"/>
      <w:bookmarkEnd w:id="2019"/>
      <w:bookmarkEnd w:id="2020"/>
      <w:bookmarkEnd w:id="2021"/>
      <w:bookmarkEnd w:id="2022"/>
      <w:bookmarkEnd w:id="2023"/>
      <w:bookmarkEnd w:id="2024"/>
      <w:bookmarkEnd w:id="2025"/>
      <w:bookmarkEnd w:id="2026"/>
    </w:p>
    <w:p w14:paraId="009EBBBD">
      <w:pPr>
        <w:tabs>
          <w:tab w:val="left" w:pos="3855"/>
        </w:tabs>
        <w:spacing w:line="360" w:lineRule="auto"/>
        <w:outlineLvl w:val="2"/>
        <w:rPr>
          <w:rFonts w:ascii="宋体" w:hAnsi="宋体" w:cs="宋体"/>
          <w:szCs w:val="21"/>
        </w:rPr>
      </w:pPr>
      <w:r>
        <w:rPr>
          <w:rFonts w:hint="eastAsia" w:ascii="宋体" w:hAnsi="宋体" w:cs="宋体"/>
          <w:szCs w:val="21"/>
        </w:rPr>
        <w:t>18.7.1  监理人颁发（出具）工程接收证书后，承包人负责按照以下要求对施工场地进行清理，直至监理人检验合格为止。竣工清场费用由承包人承担。</w:t>
      </w:r>
    </w:p>
    <w:p w14:paraId="649503BF">
      <w:pPr>
        <w:tabs>
          <w:tab w:val="left" w:pos="3855"/>
        </w:tabs>
        <w:spacing w:line="360" w:lineRule="auto"/>
        <w:rPr>
          <w:rFonts w:ascii="宋体" w:hAnsi="宋体" w:cs="宋体"/>
          <w:szCs w:val="21"/>
        </w:rPr>
      </w:pPr>
      <w:r>
        <w:rPr>
          <w:rFonts w:hint="eastAsia" w:ascii="宋体" w:hAnsi="宋体" w:cs="宋体"/>
          <w:szCs w:val="21"/>
        </w:rPr>
        <w:t>（1）施工场地内残留的垃圾已全部清除出场；</w:t>
      </w:r>
    </w:p>
    <w:p w14:paraId="43BD982B">
      <w:pPr>
        <w:tabs>
          <w:tab w:val="left" w:pos="3855"/>
        </w:tabs>
        <w:spacing w:line="360" w:lineRule="auto"/>
        <w:rPr>
          <w:rFonts w:ascii="宋体" w:hAnsi="宋体" w:cs="宋体"/>
          <w:szCs w:val="21"/>
        </w:rPr>
      </w:pPr>
      <w:r>
        <w:rPr>
          <w:rFonts w:hint="eastAsia" w:ascii="宋体" w:hAnsi="宋体" w:cs="宋体"/>
          <w:szCs w:val="21"/>
        </w:rPr>
        <w:t>（2）临时工程已拆除，场地已按合同要求进行清理、平整或复原；</w:t>
      </w:r>
    </w:p>
    <w:p w14:paraId="5B83907F">
      <w:pPr>
        <w:tabs>
          <w:tab w:val="left" w:pos="3855"/>
        </w:tabs>
        <w:spacing w:line="360" w:lineRule="auto"/>
        <w:rPr>
          <w:rFonts w:ascii="宋体" w:hAnsi="宋体" w:cs="宋体"/>
          <w:szCs w:val="21"/>
        </w:rPr>
      </w:pPr>
      <w:r>
        <w:rPr>
          <w:rFonts w:hint="eastAsia" w:ascii="宋体" w:hAnsi="宋体" w:cs="宋体"/>
          <w:szCs w:val="21"/>
        </w:rPr>
        <w:t>（3）按合同约定应撤离的承包人设备和剩余的材料，包括废弃的施工设备和材料，已按计划撤离施工场地；</w:t>
      </w:r>
    </w:p>
    <w:p w14:paraId="614B4109">
      <w:pPr>
        <w:tabs>
          <w:tab w:val="left" w:pos="3855"/>
        </w:tabs>
        <w:spacing w:line="360" w:lineRule="auto"/>
        <w:rPr>
          <w:rFonts w:ascii="宋体" w:hAnsi="宋体" w:cs="宋体"/>
          <w:szCs w:val="21"/>
        </w:rPr>
      </w:pPr>
      <w:r>
        <w:rPr>
          <w:rFonts w:hint="eastAsia" w:ascii="宋体" w:hAnsi="宋体" w:cs="宋体"/>
          <w:szCs w:val="21"/>
        </w:rPr>
        <w:t>（4）工程建筑物周边及其附近道路、河道的施工堆积物，已按监理人指示全部清理；</w:t>
      </w:r>
    </w:p>
    <w:p w14:paraId="1F0ADB80">
      <w:pPr>
        <w:tabs>
          <w:tab w:val="left" w:pos="3855"/>
        </w:tabs>
        <w:spacing w:line="360" w:lineRule="auto"/>
        <w:rPr>
          <w:rFonts w:ascii="宋体" w:hAnsi="宋体" w:cs="宋体"/>
          <w:szCs w:val="21"/>
        </w:rPr>
      </w:pPr>
      <w:r>
        <w:rPr>
          <w:rFonts w:hint="eastAsia" w:ascii="宋体" w:hAnsi="宋体" w:cs="宋体"/>
          <w:szCs w:val="21"/>
        </w:rPr>
        <w:t>（5）监理人指示的其他场地清理工作已全部完成。</w:t>
      </w:r>
    </w:p>
    <w:p w14:paraId="7E93802F">
      <w:pPr>
        <w:tabs>
          <w:tab w:val="left" w:pos="3855"/>
        </w:tabs>
        <w:spacing w:line="360" w:lineRule="auto"/>
        <w:outlineLvl w:val="2"/>
        <w:rPr>
          <w:rFonts w:ascii="宋体" w:hAnsi="宋体" w:cs="宋体"/>
          <w:szCs w:val="21"/>
        </w:rPr>
      </w:pPr>
      <w:r>
        <w:rPr>
          <w:rFonts w:hint="eastAsia" w:ascii="宋体" w:hAnsi="宋体" w:cs="宋体"/>
          <w:szCs w:val="21"/>
        </w:rPr>
        <w:t>18.7.2  承包人未按监理人的要求恢复临时占地，或者场地清理未达到合同约定的，发包人有权委托其他人恢复或清理，所发生的金额从拟支付给承包人的款项中扣除。</w:t>
      </w:r>
    </w:p>
    <w:p w14:paraId="7BA97E3C">
      <w:pPr>
        <w:tabs>
          <w:tab w:val="left" w:pos="3855"/>
        </w:tabs>
        <w:spacing w:line="360" w:lineRule="auto"/>
        <w:outlineLvl w:val="1"/>
        <w:rPr>
          <w:rFonts w:ascii="宋体" w:hAnsi="宋体" w:cs="宋体"/>
          <w:szCs w:val="21"/>
        </w:rPr>
      </w:pPr>
      <w:bookmarkStart w:id="2027" w:name="_Toc497456561"/>
      <w:bookmarkStart w:id="2028" w:name="_Toc480486854"/>
      <w:bookmarkStart w:id="2029" w:name="_Toc338944826"/>
      <w:bookmarkStart w:id="2030" w:name="_Toc342296384"/>
      <w:bookmarkStart w:id="2031" w:name="_Toc489279982"/>
      <w:bookmarkStart w:id="2032" w:name="_Toc480487026"/>
      <w:bookmarkStart w:id="2033" w:name="_Toc483668200"/>
      <w:bookmarkStart w:id="2034" w:name="_Toc490222616"/>
      <w:bookmarkStart w:id="2035" w:name="_Toc486580171"/>
      <w:r>
        <w:rPr>
          <w:rFonts w:hint="eastAsia" w:ascii="宋体" w:hAnsi="宋体" w:cs="宋体"/>
          <w:szCs w:val="21"/>
        </w:rPr>
        <w:t>18.8  施工队伍的撤离</w:t>
      </w:r>
      <w:bookmarkEnd w:id="2027"/>
      <w:bookmarkEnd w:id="2028"/>
      <w:bookmarkEnd w:id="2029"/>
      <w:bookmarkEnd w:id="2030"/>
      <w:bookmarkEnd w:id="2031"/>
      <w:bookmarkEnd w:id="2032"/>
      <w:bookmarkEnd w:id="2033"/>
      <w:bookmarkEnd w:id="2034"/>
      <w:bookmarkEnd w:id="2035"/>
    </w:p>
    <w:p w14:paraId="305CCB0B">
      <w:pPr>
        <w:tabs>
          <w:tab w:val="left" w:pos="3855"/>
        </w:tabs>
        <w:spacing w:line="360" w:lineRule="auto"/>
        <w:outlineLvl w:val="2"/>
        <w:rPr>
          <w:rFonts w:ascii="宋体" w:hAnsi="宋体" w:cs="宋体"/>
          <w:szCs w:val="21"/>
        </w:rPr>
      </w:pPr>
      <w:r>
        <w:rPr>
          <w:rFonts w:hint="eastAsia" w:ascii="宋体" w:hAnsi="宋体" w:cs="宋体"/>
          <w:szCs w:val="21"/>
        </w:rPr>
        <w:t>18.8.1  工程接收证书颁发后的56天内，除了经监理人同意需在缺陷责任期内继续工作和使用的人员、施工设备和临时工程外，其余的人员、施工设备和临时工程均应撤离施工场地或拆除。</w:t>
      </w:r>
    </w:p>
    <w:p w14:paraId="72E63996">
      <w:pPr>
        <w:tabs>
          <w:tab w:val="left" w:pos="3855"/>
        </w:tabs>
        <w:spacing w:line="360" w:lineRule="auto"/>
        <w:outlineLvl w:val="2"/>
        <w:rPr>
          <w:rFonts w:ascii="宋体" w:hAnsi="宋体" w:cs="宋体"/>
          <w:szCs w:val="21"/>
        </w:rPr>
      </w:pPr>
      <w:r>
        <w:rPr>
          <w:rFonts w:hint="eastAsia" w:ascii="宋体" w:hAnsi="宋体" w:cs="宋体"/>
          <w:szCs w:val="21"/>
        </w:rPr>
        <w:t>18.8.2  承包人撤离施工场地（现场）时，监理人和承包人应当办理永久工程和施工场地移交手续，移交手续以书面方式出具，并分别经过发包人、监理人和承包人的签认。但是，监理人和发包人未按第17.5.1项约定的期限办清竣工结算和竣工付款的，本工程不得交付使用，发包人和监理人也无权要求承包人按合同约定的期限撤离施工场地（现场）和办理工程移交手续。</w:t>
      </w:r>
    </w:p>
    <w:p w14:paraId="053C3279">
      <w:pPr>
        <w:tabs>
          <w:tab w:val="left" w:pos="3855"/>
        </w:tabs>
        <w:spacing w:line="360" w:lineRule="auto"/>
        <w:outlineLvl w:val="2"/>
        <w:rPr>
          <w:rFonts w:ascii="宋体" w:hAnsi="宋体" w:cs="宋体"/>
          <w:szCs w:val="21"/>
        </w:rPr>
      </w:pPr>
      <w:r>
        <w:rPr>
          <w:rFonts w:hint="eastAsia" w:ascii="宋体" w:hAnsi="宋体" w:cs="宋体"/>
          <w:szCs w:val="21"/>
        </w:rPr>
        <w:t>18.8.3  缺陷责任期满时，承包人的人员和施工设备应在合同约定期限内全部撤离施工场地。撤离施工场地的期限要求见合同条款专用部分。</w:t>
      </w:r>
    </w:p>
    <w:p w14:paraId="7168EC8C">
      <w:pPr>
        <w:tabs>
          <w:tab w:val="left" w:pos="3855"/>
        </w:tabs>
        <w:spacing w:line="360" w:lineRule="auto"/>
        <w:outlineLvl w:val="1"/>
        <w:rPr>
          <w:rFonts w:ascii="宋体" w:hAnsi="宋体" w:cs="宋体"/>
          <w:szCs w:val="21"/>
        </w:rPr>
      </w:pPr>
      <w:bookmarkStart w:id="2036" w:name="_Toc480486855"/>
      <w:bookmarkStart w:id="2037" w:name="_Toc480487027"/>
      <w:bookmarkStart w:id="2038" w:name="_Toc497456562"/>
      <w:bookmarkStart w:id="2039" w:name="_Toc342296495"/>
      <w:bookmarkStart w:id="2040" w:name="_Toc483668201"/>
      <w:bookmarkStart w:id="2041" w:name="_Toc486580172"/>
      <w:bookmarkStart w:id="2042" w:name="_Toc476479383"/>
      <w:bookmarkStart w:id="2043" w:name="_Toc241459736"/>
      <w:bookmarkStart w:id="2044" w:name="_Toc490222617"/>
      <w:bookmarkStart w:id="2045" w:name="_Toc489279983"/>
      <w:r>
        <w:rPr>
          <w:rFonts w:hint="eastAsia" w:ascii="宋体" w:hAnsi="宋体" w:cs="宋体"/>
          <w:szCs w:val="21"/>
        </w:rPr>
        <w:t>18.9  中间验收</w:t>
      </w:r>
      <w:bookmarkEnd w:id="2036"/>
      <w:bookmarkEnd w:id="2037"/>
      <w:bookmarkEnd w:id="2038"/>
      <w:bookmarkEnd w:id="2039"/>
      <w:bookmarkEnd w:id="2040"/>
      <w:bookmarkEnd w:id="2041"/>
      <w:bookmarkEnd w:id="2042"/>
      <w:bookmarkEnd w:id="2043"/>
      <w:bookmarkEnd w:id="2044"/>
      <w:bookmarkEnd w:id="2045"/>
    </w:p>
    <w:p w14:paraId="6147B796">
      <w:pPr>
        <w:tabs>
          <w:tab w:val="left" w:pos="3855"/>
        </w:tabs>
        <w:spacing w:line="360" w:lineRule="auto"/>
        <w:outlineLvl w:val="2"/>
        <w:rPr>
          <w:rFonts w:ascii="宋体" w:hAnsi="宋体" w:cs="宋体"/>
          <w:szCs w:val="21"/>
        </w:rPr>
      </w:pPr>
      <w:r>
        <w:rPr>
          <w:rFonts w:hint="eastAsia" w:ascii="宋体" w:hAnsi="宋体" w:cs="宋体"/>
          <w:szCs w:val="21"/>
        </w:rPr>
        <w:t>18.9.1  本工程需要按照合同约定进行中间验收。进行中间验收的部位见合同条款专用部分。</w:t>
      </w:r>
    </w:p>
    <w:p w14:paraId="175AD1BB">
      <w:pPr>
        <w:tabs>
          <w:tab w:val="left" w:pos="3855"/>
        </w:tabs>
        <w:spacing w:line="360" w:lineRule="auto"/>
        <w:outlineLvl w:val="2"/>
        <w:rPr>
          <w:rFonts w:ascii="宋体" w:hAnsi="宋体" w:cs="宋体"/>
          <w:szCs w:val="21"/>
        </w:rPr>
      </w:pPr>
      <w:r>
        <w:rPr>
          <w:rFonts w:hint="eastAsia" w:ascii="宋体" w:hAnsi="宋体" w:cs="宋体"/>
          <w:szCs w:val="21"/>
        </w:rPr>
        <w:t>18.9.2  当工程进度达到第18.9.1项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p>
    <w:p w14:paraId="122CBD6A">
      <w:pPr>
        <w:tabs>
          <w:tab w:val="left" w:pos="3855"/>
        </w:tabs>
        <w:spacing w:line="360" w:lineRule="auto"/>
        <w:outlineLvl w:val="2"/>
        <w:rPr>
          <w:rFonts w:ascii="宋体" w:hAnsi="宋体" w:cs="宋体"/>
          <w:szCs w:val="21"/>
        </w:rPr>
      </w:pPr>
      <w:r>
        <w:rPr>
          <w:rFonts w:hint="eastAsia" w:ascii="宋体" w:hAnsi="宋体" w:cs="宋体"/>
          <w:szCs w:val="21"/>
        </w:rPr>
        <w:t>18.9.3  监理人不能按时进行验收的，应在验收前至少24小时以书面形式向承包人提出延期要求，但延期不能超过48小时。监理人未能按本款约定的时限提出延期要求，又未按期进行验收的，承包人可自行组织验收，监理人必须认同验收记录。</w:t>
      </w:r>
    </w:p>
    <w:p w14:paraId="596B541D">
      <w:pPr>
        <w:tabs>
          <w:tab w:val="left" w:pos="3855"/>
        </w:tabs>
        <w:spacing w:line="360" w:lineRule="auto"/>
        <w:rPr>
          <w:rFonts w:ascii="宋体" w:hAnsi="宋体" w:cs="宋体"/>
          <w:szCs w:val="21"/>
        </w:rPr>
      </w:pPr>
      <w:r>
        <w:rPr>
          <w:rFonts w:hint="eastAsia" w:ascii="宋体" w:hAnsi="宋体" w:cs="宋体"/>
          <w:szCs w:val="21"/>
        </w:rPr>
        <w:t>经监理人验收后工程质量符合约定的验收标准，但验收24小时后监理人仍不在验收记录上签字的，视为监理人已经认可验收记录，承包人可继续施工。</w:t>
      </w:r>
    </w:p>
    <w:p w14:paraId="0586B6C1">
      <w:pPr>
        <w:tabs>
          <w:tab w:val="left" w:pos="3855"/>
        </w:tabs>
        <w:spacing w:line="360" w:lineRule="auto"/>
        <w:outlineLvl w:val="0"/>
        <w:rPr>
          <w:rFonts w:ascii="宋体" w:hAnsi="宋体" w:cs="宋体"/>
          <w:szCs w:val="21"/>
        </w:rPr>
      </w:pPr>
      <w:bookmarkStart w:id="2046" w:name="_Toc490222618"/>
      <w:bookmarkStart w:id="2047" w:name="_Toc497456563"/>
      <w:bookmarkStart w:id="2048" w:name="_Toc489279984"/>
      <w:bookmarkStart w:id="2049" w:name="_Toc480487028"/>
      <w:bookmarkStart w:id="2050" w:name="_Toc480486856"/>
      <w:bookmarkStart w:id="2051" w:name="_Toc342296385"/>
      <w:bookmarkStart w:id="2052" w:name="_Toc338944827"/>
      <w:bookmarkStart w:id="2053" w:name="_Toc486580173"/>
      <w:bookmarkStart w:id="2054" w:name="_Toc483668202"/>
      <w:r>
        <w:rPr>
          <w:rFonts w:hint="eastAsia" w:ascii="宋体" w:hAnsi="宋体" w:cs="宋体"/>
          <w:szCs w:val="21"/>
        </w:rPr>
        <w:t>19.缺陷责任与保修责任</w:t>
      </w:r>
      <w:bookmarkEnd w:id="2046"/>
      <w:bookmarkEnd w:id="2047"/>
      <w:bookmarkEnd w:id="2048"/>
      <w:bookmarkEnd w:id="2049"/>
      <w:bookmarkEnd w:id="2050"/>
      <w:bookmarkEnd w:id="2051"/>
      <w:bookmarkEnd w:id="2052"/>
      <w:bookmarkEnd w:id="2053"/>
      <w:bookmarkEnd w:id="2054"/>
    </w:p>
    <w:p w14:paraId="1C1DB1E7">
      <w:pPr>
        <w:tabs>
          <w:tab w:val="left" w:pos="3855"/>
        </w:tabs>
        <w:spacing w:line="360" w:lineRule="auto"/>
        <w:outlineLvl w:val="1"/>
        <w:rPr>
          <w:rFonts w:ascii="宋体" w:hAnsi="宋体" w:cs="宋体"/>
          <w:szCs w:val="21"/>
        </w:rPr>
      </w:pPr>
      <w:bookmarkStart w:id="2055" w:name="_Toc342296386"/>
      <w:bookmarkStart w:id="2056" w:name="_Toc480486857"/>
      <w:bookmarkStart w:id="2057" w:name="_Toc338944828"/>
      <w:bookmarkStart w:id="2058" w:name="_Toc486580174"/>
      <w:bookmarkStart w:id="2059" w:name="_Toc480487029"/>
      <w:bookmarkStart w:id="2060" w:name="_Toc152045735"/>
      <w:bookmarkStart w:id="2061" w:name="_Toc483668203"/>
      <w:bookmarkStart w:id="2062" w:name="_Toc144974706"/>
      <w:bookmarkStart w:id="2063" w:name="_Toc152042514"/>
      <w:bookmarkStart w:id="2064" w:name="_Toc497456564"/>
      <w:bookmarkStart w:id="2065" w:name="_Toc489279985"/>
      <w:bookmarkStart w:id="2066" w:name="_Toc179632753"/>
      <w:bookmarkStart w:id="2067" w:name="_Toc490222619"/>
      <w:r>
        <w:rPr>
          <w:rFonts w:hint="eastAsia" w:ascii="宋体" w:hAnsi="宋体" w:cs="宋体"/>
          <w:szCs w:val="21"/>
        </w:rPr>
        <w:t>19.1  缺陷责任期的起算时间</w:t>
      </w:r>
      <w:bookmarkEnd w:id="2055"/>
      <w:bookmarkEnd w:id="2056"/>
      <w:bookmarkEnd w:id="2057"/>
      <w:bookmarkEnd w:id="2058"/>
      <w:bookmarkEnd w:id="2059"/>
      <w:bookmarkEnd w:id="2060"/>
      <w:bookmarkEnd w:id="2061"/>
      <w:bookmarkEnd w:id="2062"/>
      <w:bookmarkEnd w:id="2063"/>
      <w:bookmarkEnd w:id="2064"/>
      <w:bookmarkEnd w:id="2065"/>
      <w:bookmarkEnd w:id="2066"/>
      <w:bookmarkEnd w:id="2067"/>
    </w:p>
    <w:p w14:paraId="3A3EAFB4">
      <w:pPr>
        <w:tabs>
          <w:tab w:val="left" w:pos="3855"/>
        </w:tabs>
        <w:spacing w:line="360" w:lineRule="auto"/>
        <w:rPr>
          <w:rFonts w:ascii="宋体" w:hAnsi="宋体" w:cs="宋体"/>
          <w:szCs w:val="21"/>
        </w:rPr>
      </w:pPr>
      <w:r>
        <w:rPr>
          <w:rFonts w:hint="eastAsia" w:ascii="宋体" w:hAnsi="宋体" w:cs="宋体"/>
          <w:szCs w:val="21"/>
        </w:rPr>
        <w:t>缺陷责任期自实际竣工日期起计算。在全部工程竣工验收前，已经发包人提前验收的单位工程，其缺陷责任期的起算日期相应提前。</w:t>
      </w:r>
    </w:p>
    <w:p w14:paraId="11E75C7E">
      <w:pPr>
        <w:tabs>
          <w:tab w:val="left" w:pos="3855"/>
        </w:tabs>
        <w:spacing w:line="360" w:lineRule="auto"/>
        <w:outlineLvl w:val="1"/>
        <w:rPr>
          <w:rFonts w:ascii="宋体" w:hAnsi="宋体" w:cs="宋体"/>
          <w:szCs w:val="21"/>
        </w:rPr>
      </w:pPr>
      <w:bookmarkStart w:id="2068" w:name="_Toc179632754"/>
      <w:bookmarkStart w:id="2069" w:name="_Toc152042515"/>
      <w:bookmarkStart w:id="2070" w:name="_Toc490222620"/>
      <w:bookmarkStart w:id="2071" w:name="_Toc144974707"/>
      <w:bookmarkStart w:id="2072" w:name="_Toc489279986"/>
      <w:bookmarkStart w:id="2073" w:name="_Toc338944829"/>
      <w:bookmarkStart w:id="2074" w:name="_Toc342296387"/>
      <w:bookmarkStart w:id="2075" w:name="_Toc152045736"/>
      <w:bookmarkStart w:id="2076" w:name="_Toc486580175"/>
      <w:bookmarkStart w:id="2077" w:name="_Toc497456565"/>
      <w:bookmarkStart w:id="2078" w:name="_Toc480487030"/>
      <w:bookmarkStart w:id="2079" w:name="_Toc480486858"/>
      <w:bookmarkStart w:id="2080" w:name="_Toc483668204"/>
      <w:r>
        <w:rPr>
          <w:rFonts w:hint="eastAsia" w:ascii="宋体" w:hAnsi="宋体" w:cs="宋体"/>
          <w:szCs w:val="21"/>
        </w:rPr>
        <w:t>19.2  缺陷责任</w:t>
      </w:r>
      <w:bookmarkEnd w:id="2068"/>
      <w:bookmarkEnd w:id="2069"/>
      <w:bookmarkEnd w:id="2070"/>
      <w:bookmarkEnd w:id="2071"/>
      <w:bookmarkEnd w:id="2072"/>
      <w:bookmarkEnd w:id="2073"/>
      <w:bookmarkEnd w:id="2074"/>
      <w:bookmarkEnd w:id="2075"/>
      <w:bookmarkEnd w:id="2076"/>
      <w:bookmarkEnd w:id="2077"/>
      <w:bookmarkEnd w:id="2078"/>
      <w:bookmarkEnd w:id="2079"/>
      <w:bookmarkEnd w:id="2080"/>
    </w:p>
    <w:p w14:paraId="73D407EA">
      <w:pPr>
        <w:tabs>
          <w:tab w:val="left" w:pos="3855"/>
        </w:tabs>
        <w:spacing w:line="360" w:lineRule="auto"/>
        <w:outlineLvl w:val="2"/>
        <w:rPr>
          <w:rFonts w:ascii="宋体" w:hAnsi="宋体" w:cs="宋体"/>
          <w:szCs w:val="21"/>
        </w:rPr>
      </w:pPr>
      <w:r>
        <w:rPr>
          <w:rFonts w:hint="eastAsia" w:ascii="宋体" w:hAnsi="宋体" w:cs="宋体"/>
          <w:szCs w:val="21"/>
        </w:rPr>
        <w:t>19.2.1  承包人应在缺陷责任期内对已交付使用的工程承担缺陷责任。</w:t>
      </w:r>
    </w:p>
    <w:p w14:paraId="28409A6A">
      <w:pPr>
        <w:tabs>
          <w:tab w:val="left" w:pos="3855"/>
        </w:tabs>
        <w:spacing w:line="360" w:lineRule="auto"/>
        <w:outlineLvl w:val="2"/>
        <w:rPr>
          <w:rFonts w:ascii="宋体" w:hAnsi="宋体" w:cs="宋体"/>
          <w:szCs w:val="21"/>
        </w:rPr>
      </w:pPr>
      <w:r>
        <w:rPr>
          <w:rFonts w:hint="eastAsia" w:ascii="宋体" w:hAnsi="宋体" w:cs="宋体"/>
          <w:szCs w:val="21"/>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51709878">
      <w:pPr>
        <w:tabs>
          <w:tab w:val="left" w:pos="3855"/>
        </w:tabs>
        <w:spacing w:line="360" w:lineRule="auto"/>
        <w:outlineLvl w:val="2"/>
        <w:rPr>
          <w:rFonts w:ascii="宋体" w:hAnsi="宋体" w:cs="宋体"/>
          <w:szCs w:val="21"/>
        </w:rPr>
      </w:pPr>
      <w:r>
        <w:rPr>
          <w:rFonts w:hint="eastAsia" w:ascii="宋体" w:hAnsi="宋体" w:cs="宋体"/>
          <w:szCs w:val="21"/>
        </w:rPr>
        <w:t>19.2.3  监理人和承包人应共同查清缺陷和（或）损坏的原因。经查明属承包人原因造成的，应由承包人承担修复和查验的费用。经查验属发包人原因造成的，发包人应承担修复和查验的费用，。</w:t>
      </w:r>
    </w:p>
    <w:p w14:paraId="679603C4">
      <w:pPr>
        <w:tabs>
          <w:tab w:val="left" w:pos="3855"/>
        </w:tabs>
        <w:spacing w:line="360" w:lineRule="auto"/>
        <w:outlineLvl w:val="2"/>
        <w:rPr>
          <w:rFonts w:ascii="宋体" w:hAnsi="宋体" w:cs="宋体"/>
          <w:szCs w:val="21"/>
        </w:rPr>
      </w:pPr>
      <w:r>
        <w:rPr>
          <w:rFonts w:hint="eastAsia" w:ascii="宋体" w:hAnsi="宋体" w:cs="宋体"/>
          <w:szCs w:val="21"/>
        </w:rPr>
        <w:t>19.2.4  承包人不能在合理时间内修复缺陷的，发包人可自行修复或委托其他人修复，所需费用和利润的承担，按第19.2.3项约定办理。</w:t>
      </w:r>
    </w:p>
    <w:p w14:paraId="011B5DAF">
      <w:pPr>
        <w:tabs>
          <w:tab w:val="left" w:pos="3855"/>
        </w:tabs>
        <w:spacing w:line="360" w:lineRule="auto"/>
        <w:outlineLvl w:val="1"/>
        <w:rPr>
          <w:rFonts w:ascii="宋体" w:hAnsi="宋体" w:cs="宋体"/>
          <w:szCs w:val="21"/>
        </w:rPr>
      </w:pPr>
      <w:bookmarkStart w:id="2081" w:name="_Toc480487031"/>
      <w:bookmarkStart w:id="2082" w:name="_Toc480486859"/>
      <w:bookmarkStart w:id="2083" w:name="_Toc342296388"/>
      <w:bookmarkStart w:id="2084" w:name="_Toc490222621"/>
      <w:bookmarkStart w:id="2085" w:name="_Toc152042516"/>
      <w:bookmarkStart w:id="2086" w:name="_Toc144974708"/>
      <w:bookmarkStart w:id="2087" w:name="_Toc179632755"/>
      <w:bookmarkStart w:id="2088" w:name="_Toc483668205"/>
      <w:bookmarkStart w:id="2089" w:name="_Toc152045737"/>
      <w:bookmarkStart w:id="2090" w:name="_Toc497456566"/>
      <w:bookmarkStart w:id="2091" w:name="_Toc486580176"/>
      <w:bookmarkStart w:id="2092" w:name="_Toc489279987"/>
      <w:bookmarkStart w:id="2093" w:name="_Toc338944830"/>
      <w:r>
        <w:rPr>
          <w:rFonts w:hint="eastAsia" w:ascii="宋体" w:hAnsi="宋体" w:cs="宋体"/>
          <w:szCs w:val="21"/>
        </w:rPr>
        <w:t>19.3  缺陷责任期的延长</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p>
    <w:p w14:paraId="11E5B022">
      <w:pPr>
        <w:tabs>
          <w:tab w:val="left" w:pos="3855"/>
        </w:tabs>
        <w:spacing w:line="360" w:lineRule="auto"/>
        <w:rPr>
          <w:rFonts w:ascii="宋体" w:hAnsi="宋体" w:cs="宋体"/>
          <w:szCs w:val="21"/>
        </w:rPr>
      </w:pPr>
      <w:r>
        <w:rPr>
          <w:rFonts w:hint="eastAsia" w:ascii="宋体" w:hAnsi="宋体" w:cs="宋体"/>
          <w:szCs w:val="21"/>
        </w:rPr>
        <w:t>由于承包人原因造成某项缺陷或损坏，使某项工程或工程设备不能按原定目标使用，需要再次检查、检验和修复的，发包人有权要求承包人相应延长缺陷责任期，但缺陷责任期最长不超过2年。</w:t>
      </w:r>
    </w:p>
    <w:p w14:paraId="33A2CC9D">
      <w:pPr>
        <w:tabs>
          <w:tab w:val="left" w:pos="3855"/>
        </w:tabs>
        <w:spacing w:line="360" w:lineRule="auto"/>
        <w:outlineLvl w:val="1"/>
        <w:rPr>
          <w:rFonts w:ascii="宋体" w:hAnsi="宋体" w:cs="宋体"/>
          <w:szCs w:val="21"/>
        </w:rPr>
      </w:pPr>
      <w:bookmarkStart w:id="2094" w:name="_Toc152042517"/>
      <w:bookmarkStart w:id="2095" w:name="_Toc483668206"/>
      <w:bookmarkStart w:id="2096" w:name="_Toc480486860"/>
      <w:bookmarkStart w:id="2097" w:name="_Toc144974709"/>
      <w:bookmarkStart w:id="2098" w:name="_Toc480487032"/>
      <w:bookmarkStart w:id="2099" w:name="_Toc179632756"/>
      <w:bookmarkStart w:id="2100" w:name="_Toc342296389"/>
      <w:bookmarkStart w:id="2101" w:name="_Toc486580177"/>
      <w:bookmarkStart w:id="2102" w:name="_Toc338944831"/>
      <w:bookmarkStart w:id="2103" w:name="_Toc489279988"/>
      <w:bookmarkStart w:id="2104" w:name="_Toc490222622"/>
      <w:bookmarkStart w:id="2105" w:name="_Toc497456567"/>
      <w:bookmarkStart w:id="2106" w:name="_Toc152045738"/>
      <w:r>
        <w:rPr>
          <w:rFonts w:hint="eastAsia" w:ascii="宋体" w:hAnsi="宋体" w:cs="宋体"/>
          <w:szCs w:val="21"/>
        </w:rPr>
        <w:t>19.4  进一步试验和试运行</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14:paraId="07907439">
      <w:pPr>
        <w:tabs>
          <w:tab w:val="left" w:pos="3855"/>
        </w:tabs>
        <w:spacing w:line="360" w:lineRule="auto"/>
        <w:rPr>
          <w:rFonts w:ascii="宋体" w:hAnsi="宋体" w:cs="宋体"/>
          <w:szCs w:val="21"/>
        </w:rPr>
      </w:pPr>
      <w:r>
        <w:rPr>
          <w:rFonts w:hint="eastAsia" w:ascii="宋体" w:hAnsi="宋体" w:cs="宋体"/>
          <w:szCs w:val="21"/>
        </w:rPr>
        <w:t>任何一项缺陷或损坏修复后，经检查证明其影响了工程或工程设备的使用性能，承包人应重新进行合同约定的试验和试运行，试验和试运行的全部费用应由责任方承担。</w:t>
      </w:r>
    </w:p>
    <w:p w14:paraId="4BC76DFC">
      <w:pPr>
        <w:tabs>
          <w:tab w:val="left" w:pos="3855"/>
        </w:tabs>
        <w:spacing w:line="360" w:lineRule="auto"/>
        <w:outlineLvl w:val="1"/>
        <w:rPr>
          <w:rFonts w:ascii="宋体" w:hAnsi="宋体" w:cs="宋体"/>
          <w:szCs w:val="21"/>
        </w:rPr>
      </w:pPr>
      <w:bookmarkStart w:id="2107" w:name="_Toc486580178"/>
      <w:bookmarkStart w:id="2108" w:name="_Toc152042518"/>
      <w:bookmarkStart w:id="2109" w:name="_Toc480487033"/>
      <w:bookmarkStart w:id="2110" w:name="_Toc497456568"/>
      <w:bookmarkStart w:id="2111" w:name="_Toc338944832"/>
      <w:bookmarkStart w:id="2112" w:name="_Toc152045739"/>
      <w:bookmarkStart w:id="2113" w:name="_Toc490222623"/>
      <w:bookmarkStart w:id="2114" w:name="_Toc483668207"/>
      <w:bookmarkStart w:id="2115" w:name="_Toc489279989"/>
      <w:bookmarkStart w:id="2116" w:name="_Toc179632757"/>
      <w:bookmarkStart w:id="2117" w:name="_Toc144974710"/>
      <w:bookmarkStart w:id="2118" w:name="_Toc342296390"/>
      <w:bookmarkStart w:id="2119" w:name="_Toc480486861"/>
      <w:r>
        <w:rPr>
          <w:rFonts w:hint="eastAsia" w:ascii="宋体" w:hAnsi="宋体" w:cs="宋体"/>
          <w:szCs w:val="21"/>
        </w:rPr>
        <w:t>19.5  承包人的进入权</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p>
    <w:p w14:paraId="3CD33261">
      <w:pPr>
        <w:tabs>
          <w:tab w:val="left" w:pos="3855"/>
        </w:tabs>
        <w:spacing w:line="360" w:lineRule="auto"/>
        <w:rPr>
          <w:rFonts w:ascii="宋体" w:hAnsi="宋体" w:cs="宋体"/>
          <w:szCs w:val="21"/>
        </w:rPr>
      </w:pPr>
      <w:r>
        <w:rPr>
          <w:rFonts w:hint="eastAsia" w:ascii="宋体" w:hAnsi="宋体" w:cs="宋体"/>
          <w:szCs w:val="21"/>
        </w:rPr>
        <w:t>缺陷责任期内承包人为缺陷修复工作需要，有权进入工程现场，但应遵守发包人的保安和保密规定。</w:t>
      </w:r>
    </w:p>
    <w:p w14:paraId="0D407C86">
      <w:pPr>
        <w:tabs>
          <w:tab w:val="left" w:pos="3855"/>
        </w:tabs>
        <w:spacing w:line="360" w:lineRule="auto"/>
        <w:outlineLvl w:val="1"/>
        <w:rPr>
          <w:rFonts w:ascii="宋体" w:hAnsi="宋体" w:cs="宋体"/>
          <w:szCs w:val="21"/>
        </w:rPr>
      </w:pPr>
      <w:bookmarkStart w:id="2120" w:name="_Toc144974711"/>
      <w:bookmarkStart w:id="2121" w:name="_Toc179632758"/>
      <w:bookmarkStart w:id="2122" w:name="_Toc342296391"/>
      <w:bookmarkStart w:id="2123" w:name="_Toc486580179"/>
      <w:bookmarkStart w:id="2124" w:name="_Toc483668208"/>
      <w:bookmarkStart w:id="2125" w:name="_Toc497456569"/>
      <w:bookmarkStart w:id="2126" w:name="_Toc489279990"/>
      <w:bookmarkStart w:id="2127" w:name="_Toc480486862"/>
      <w:bookmarkStart w:id="2128" w:name="_Toc490222624"/>
      <w:bookmarkStart w:id="2129" w:name="_Toc152045740"/>
      <w:bookmarkStart w:id="2130" w:name="_Toc480487034"/>
      <w:bookmarkStart w:id="2131" w:name="_Toc152042519"/>
      <w:bookmarkStart w:id="2132" w:name="_Toc338944833"/>
      <w:r>
        <w:rPr>
          <w:rFonts w:hint="eastAsia" w:ascii="宋体" w:hAnsi="宋体" w:cs="宋体"/>
          <w:szCs w:val="21"/>
        </w:rPr>
        <w:t>19.6  缺陷责任期终止证书</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14:paraId="7DF5C684">
      <w:pPr>
        <w:tabs>
          <w:tab w:val="left" w:pos="3855"/>
        </w:tabs>
        <w:spacing w:line="360" w:lineRule="auto"/>
        <w:rPr>
          <w:rFonts w:ascii="宋体" w:hAnsi="宋体" w:cs="宋体"/>
          <w:szCs w:val="21"/>
        </w:rPr>
      </w:pPr>
      <w:r>
        <w:rPr>
          <w:rFonts w:hint="eastAsia" w:ascii="宋体" w:hAnsi="宋体" w:cs="宋体"/>
          <w:szCs w:val="21"/>
        </w:rPr>
        <w:t>在第1.1.4.5目约定的缺陷责任期，包括根据第19.3款延长的期限终止后14天内，由监理人向承包人出具经发包人签认的缺陷责任期终止证书，并退还剩余的质量保证金或退还保函。</w:t>
      </w:r>
    </w:p>
    <w:p w14:paraId="58CDABBD">
      <w:pPr>
        <w:tabs>
          <w:tab w:val="left" w:pos="3855"/>
        </w:tabs>
        <w:spacing w:line="360" w:lineRule="auto"/>
        <w:outlineLvl w:val="1"/>
        <w:rPr>
          <w:rFonts w:ascii="宋体" w:hAnsi="宋体" w:cs="宋体"/>
          <w:szCs w:val="21"/>
        </w:rPr>
      </w:pPr>
      <w:bookmarkStart w:id="2133" w:name="_Toc338944834"/>
      <w:bookmarkStart w:id="2134" w:name="_Toc490222625"/>
      <w:bookmarkStart w:id="2135" w:name="_Toc480486863"/>
      <w:bookmarkStart w:id="2136" w:name="_Toc489279991"/>
      <w:bookmarkStart w:id="2137" w:name="_Toc480487035"/>
      <w:bookmarkStart w:id="2138" w:name="_Toc486580180"/>
      <w:bookmarkStart w:id="2139" w:name="_Toc497456570"/>
      <w:bookmarkStart w:id="2140" w:name="_Toc483668209"/>
      <w:bookmarkStart w:id="2141" w:name="_Toc342296392"/>
      <w:r>
        <w:rPr>
          <w:rFonts w:hint="eastAsia" w:ascii="宋体" w:hAnsi="宋体" w:cs="宋体"/>
          <w:szCs w:val="21"/>
        </w:rPr>
        <w:t>19.7  保修责任</w:t>
      </w:r>
      <w:bookmarkEnd w:id="2133"/>
      <w:bookmarkEnd w:id="2134"/>
      <w:bookmarkEnd w:id="2135"/>
      <w:bookmarkEnd w:id="2136"/>
      <w:bookmarkEnd w:id="2137"/>
      <w:bookmarkEnd w:id="2138"/>
      <w:bookmarkEnd w:id="2139"/>
      <w:bookmarkEnd w:id="2140"/>
      <w:bookmarkEnd w:id="2141"/>
    </w:p>
    <w:p w14:paraId="6542602D">
      <w:pPr>
        <w:tabs>
          <w:tab w:val="left" w:pos="3855"/>
        </w:tabs>
        <w:spacing w:line="360" w:lineRule="auto"/>
        <w:outlineLvl w:val="2"/>
        <w:rPr>
          <w:rFonts w:ascii="宋体" w:hAnsi="宋体" w:cs="宋体"/>
          <w:szCs w:val="21"/>
        </w:rPr>
      </w:pPr>
      <w:r>
        <w:rPr>
          <w:rFonts w:hint="eastAsia" w:ascii="宋体" w:hAnsi="宋体" w:cs="宋体"/>
          <w:szCs w:val="21"/>
        </w:rPr>
        <w:t>19.7.1  合同当事人根据有关法律法规规定明确工程质量保修范围、期限和责任。保修期自实际竣工日期起计算。在全部工程竣工验收前，已经发包人提前验收的单位工程，其保修期的起算日期相应提前。工程质量保修范围、期限和责任见合同条款专用部分。</w:t>
      </w:r>
    </w:p>
    <w:p w14:paraId="3E709B7A">
      <w:pPr>
        <w:tabs>
          <w:tab w:val="left" w:pos="3855"/>
        </w:tabs>
        <w:spacing w:line="360" w:lineRule="auto"/>
        <w:outlineLvl w:val="2"/>
        <w:rPr>
          <w:rFonts w:ascii="宋体" w:hAnsi="宋体" w:cs="宋体"/>
          <w:szCs w:val="21"/>
        </w:rPr>
      </w:pPr>
      <w:r>
        <w:rPr>
          <w:rFonts w:hint="eastAsia" w:ascii="宋体" w:hAnsi="宋体" w:cs="宋体"/>
          <w:szCs w:val="21"/>
        </w:rPr>
        <w:t>19.7.2  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01097E33">
      <w:pPr>
        <w:tabs>
          <w:tab w:val="left" w:pos="3855"/>
        </w:tabs>
        <w:spacing w:line="360" w:lineRule="auto"/>
        <w:outlineLvl w:val="0"/>
        <w:rPr>
          <w:rFonts w:ascii="宋体" w:hAnsi="宋体" w:cs="宋体"/>
          <w:szCs w:val="21"/>
        </w:rPr>
      </w:pPr>
      <w:bookmarkStart w:id="2142" w:name="_Toc342296393"/>
      <w:bookmarkStart w:id="2143" w:name="_Toc489279992"/>
      <w:bookmarkStart w:id="2144" w:name="_Toc480486864"/>
      <w:bookmarkStart w:id="2145" w:name="_Toc338944835"/>
      <w:bookmarkStart w:id="2146" w:name="_Toc486580181"/>
      <w:bookmarkStart w:id="2147" w:name="_Toc480487036"/>
      <w:bookmarkStart w:id="2148" w:name="_Toc497456571"/>
      <w:bookmarkStart w:id="2149" w:name="_Toc483668210"/>
      <w:bookmarkStart w:id="2150" w:name="_Toc490222626"/>
      <w:r>
        <w:rPr>
          <w:rFonts w:hint="eastAsia" w:ascii="宋体" w:hAnsi="宋体" w:cs="宋体"/>
          <w:szCs w:val="21"/>
        </w:rPr>
        <w:t>20.保险</w:t>
      </w:r>
      <w:bookmarkEnd w:id="2142"/>
      <w:bookmarkEnd w:id="2143"/>
      <w:bookmarkEnd w:id="2144"/>
      <w:bookmarkEnd w:id="2145"/>
      <w:bookmarkEnd w:id="2146"/>
      <w:bookmarkEnd w:id="2147"/>
      <w:bookmarkEnd w:id="2148"/>
      <w:bookmarkEnd w:id="2149"/>
      <w:bookmarkEnd w:id="2150"/>
    </w:p>
    <w:p w14:paraId="643B2D10">
      <w:pPr>
        <w:tabs>
          <w:tab w:val="left" w:pos="3855"/>
        </w:tabs>
        <w:spacing w:line="360" w:lineRule="auto"/>
        <w:outlineLvl w:val="1"/>
        <w:rPr>
          <w:rFonts w:ascii="宋体" w:hAnsi="宋体" w:cs="宋体"/>
          <w:szCs w:val="21"/>
        </w:rPr>
      </w:pPr>
      <w:bookmarkStart w:id="2151" w:name="_Toc338944836"/>
      <w:bookmarkStart w:id="2152" w:name="_Toc480486865"/>
      <w:bookmarkStart w:id="2153" w:name="_Toc497456572"/>
      <w:bookmarkStart w:id="2154" w:name="_Toc490222627"/>
      <w:bookmarkStart w:id="2155" w:name="_Toc480487037"/>
      <w:bookmarkStart w:id="2156" w:name="_Toc486580182"/>
      <w:bookmarkStart w:id="2157" w:name="_Toc342296394"/>
      <w:bookmarkStart w:id="2158" w:name="_Toc483668211"/>
      <w:bookmarkStart w:id="2159" w:name="_Toc489279993"/>
      <w:r>
        <w:rPr>
          <w:rFonts w:hint="eastAsia" w:ascii="宋体" w:hAnsi="宋体" w:cs="宋体"/>
          <w:szCs w:val="21"/>
        </w:rPr>
        <w:t>20.1  工程保险</w:t>
      </w:r>
      <w:bookmarkEnd w:id="2151"/>
      <w:bookmarkEnd w:id="2152"/>
      <w:bookmarkEnd w:id="2153"/>
      <w:bookmarkEnd w:id="2154"/>
      <w:bookmarkEnd w:id="2155"/>
      <w:bookmarkEnd w:id="2156"/>
      <w:bookmarkEnd w:id="2157"/>
      <w:bookmarkEnd w:id="2158"/>
      <w:bookmarkEnd w:id="2159"/>
    </w:p>
    <w:p w14:paraId="4D3CA40B">
      <w:pPr>
        <w:tabs>
          <w:tab w:val="left" w:pos="3855"/>
        </w:tabs>
        <w:spacing w:line="360" w:lineRule="auto"/>
        <w:rPr>
          <w:rFonts w:ascii="宋体" w:hAnsi="宋体" w:cs="宋体"/>
          <w:szCs w:val="21"/>
        </w:rPr>
      </w:pPr>
      <w:r>
        <w:rPr>
          <w:rFonts w:hint="eastAsia" w:ascii="宋体" w:hAnsi="宋体" w:cs="宋体"/>
          <w:szCs w:val="21"/>
        </w:rPr>
        <w:t>承包人应以发包人和承包人的共同名义向双方同意的保险人投保建筑工程一切险、安装工程一切险。其具体的投保内容、保险金额、保险费率、保险期限等有关内容见合同条款专用部分。</w:t>
      </w:r>
    </w:p>
    <w:p w14:paraId="2A6E0826">
      <w:pPr>
        <w:tabs>
          <w:tab w:val="left" w:pos="3855"/>
        </w:tabs>
        <w:spacing w:line="360" w:lineRule="auto"/>
        <w:outlineLvl w:val="1"/>
        <w:rPr>
          <w:rFonts w:ascii="宋体" w:hAnsi="宋体" w:cs="宋体"/>
          <w:szCs w:val="21"/>
        </w:rPr>
      </w:pPr>
      <w:bookmarkStart w:id="2160" w:name="_Toc486580183"/>
      <w:bookmarkStart w:id="2161" w:name="_Toc497456573"/>
      <w:bookmarkStart w:id="2162" w:name="_Toc483668212"/>
      <w:bookmarkStart w:id="2163" w:name="_Toc480486866"/>
      <w:bookmarkStart w:id="2164" w:name="_Toc480487038"/>
      <w:bookmarkStart w:id="2165" w:name="_Toc338944837"/>
      <w:bookmarkStart w:id="2166" w:name="_Toc342296395"/>
      <w:bookmarkStart w:id="2167" w:name="_Toc489279994"/>
      <w:bookmarkStart w:id="2168" w:name="_Toc490222628"/>
      <w:r>
        <w:rPr>
          <w:rFonts w:hint="eastAsia" w:ascii="宋体" w:hAnsi="宋体" w:cs="宋体"/>
          <w:szCs w:val="21"/>
        </w:rPr>
        <w:t>20.2  人员工伤事故的保险</w:t>
      </w:r>
      <w:bookmarkEnd w:id="2160"/>
      <w:bookmarkEnd w:id="2161"/>
      <w:bookmarkEnd w:id="2162"/>
      <w:bookmarkEnd w:id="2163"/>
      <w:bookmarkEnd w:id="2164"/>
      <w:bookmarkEnd w:id="2165"/>
      <w:bookmarkEnd w:id="2166"/>
      <w:bookmarkEnd w:id="2167"/>
      <w:bookmarkEnd w:id="2168"/>
    </w:p>
    <w:p w14:paraId="5A3B5E96">
      <w:pPr>
        <w:tabs>
          <w:tab w:val="left" w:pos="3855"/>
        </w:tabs>
        <w:spacing w:line="360" w:lineRule="auto"/>
        <w:outlineLvl w:val="2"/>
        <w:rPr>
          <w:rFonts w:ascii="宋体" w:hAnsi="宋体" w:cs="宋体"/>
          <w:szCs w:val="21"/>
        </w:rPr>
      </w:pPr>
      <w:r>
        <w:rPr>
          <w:rFonts w:hint="eastAsia" w:ascii="宋体" w:hAnsi="宋体" w:cs="宋体"/>
          <w:szCs w:val="21"/>
        </w:rPr>
        <w:t>20.2.1  承包人员工伤事故的保险</w:t>
      </w:r>
    </w:p>
    <w:p w14:paraId="32A896F4">
      <w:pPr>
        <w:tabs>
          <w:tab w:val="left" w:pos="3855"/>
        </w:tabs>
        <w:spacing w:line="360" w:lineRule="auto"/>
        <w:rPr>
          <w:rFonts w:ascii="宋体" w:hAnsi="宋体" w:cs="宋体"/>
          <w:szCs w:val="21"/>
        </w:rPr>
      </w:pPr>
      <w:r>
        <w:rPr>
          <w:rFonts w:hint="eastAsia" w:ascii="宋体" w:hAnsi="宋体" w:cs="宋体"/>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14:paraId="08B3EF27">
      <w:pPr>
        <w:tabs>
          <w:tab w:val="left" w:pos="3855"/>
        </w:tabs>
        <w:spacing w:line="360" w:lineRule="auto"/>
        <w:rPr>
          <w:rFonts w:ascii="宋体" w:hAnsi="宋体" w:cs="宋体"/>
          <w:szCs w:val="21"/>
        </w:rPr>
      </w:pPr>
      <w:r>
        <w:rPr>
          <w:rFonts w:hint="eastAsia" w:ascii="宋体" w:hAnsi="宋体" w:cs="宋体"/>
          <w:szCs w:val="21"/>
        </w:rPr>
        <w:t>（2）承包人工伤事故保险期限自合同工程开工之日起至合同终止之日止。</w:t>
      </w:r>
    </w:p>
    <w:p w14:paraId="79EA5CD8">
      <w:pPr>
        <w:tabs>
          <w:tab w:val="left" w:pos="3855"/>
        </w:tabs>
        <w:spacing w:line="360" w:lineRule="auto"/>
        <w:outlineLvl w:val="2"/>
        <w:rPr>
          <w:rFonts w:ascii="宋体" w:hAnsi="宋体" w:cs="宋体"/>
          <w:szCs w:val="21"/>
        </w:rPr>
      </w:pPr>
      <w:r>
        <w:rPr>
          <w:rFonts w:hint="eastAsia" w:ascii="宋体" w:hAnsi="宋体" w:cs="宋体"/>
          <w:szCs w:val="21"/>
        </w:rPr>
        <w:t>20.2.2  发包人员工伤事故的保险</w:t>
      </w:r>
    </w:p>
    <w:p w14:paraId="2EF8B4B8">
      <w:pPr>
        <w:tabs>
          <w:tab w:val="left" w:pos="3855"/>
        </w:tabs>
        <w:spacing w:line="360" w:lineRule="auto"/>
        <w:rPr>
          <w:rFonts w:ascii="宋体" w:hAnsi="宋体" w:cs="宋体"/>
          <w:szCs w:val="21"/>
        </w:rPr>
      </w:pPr>
      <w:r>
        <w:rPr>
          <w:rFonts w:hint="eastAsia" w:ascii="宋体" w:hAnsi="宋体" w:cs="宋体"/>
          <w:szCs w:val="21"/>
        </w:rPr>
        <w:t>发包人应依照有关法律法规规定参加工伤保险，为其现场机构雇佣的全部人员，缴纳工伤保险费，并要求其监理人也进行此项保险。</w:t>
      </w:r>
    </w:p>
    <w:p w14:paraId="1639C034">
      <w:pPr>
        <w:tabs>
          <w:tab w:val="left" w:pos="3855"/>
        </w:tabs>
        <w:spacing w:line="360" w:lineRule="auto"/>
        <w:outlineLvl w:val="1"/>
        <w:rPr>
          <w:rFonts w:ascii="宋体" w:hAnsi="宋体" w:cs="宋体"/>
          <w:szCs w:val="21"/>
        </w:rPr>
      </w:pPr>
      <w:bookmarkStart w:id="2169" w:name="_Toc152045745"/>
      <w:bookmarkStart w:id="2170" w:name="_Toc144974716"/>
      <w:bookmarkStart w:id="2171" w:name="_Toc486580184"/>
      <w:bookmarkStart w:id="2172" w:name="_Toc152042524"/>
      <w:bookmarkStart w:id="2173" w:name="_Toc489279995"/>
      <w:bookmarkStart w:id="2174" w:name="_Toc342296396"/>
      <w:bookmarkStart w:id="2175" w:name="_Toc338944838"/>
      <w:bookmarkStart w:id="2176" w:name="_Toc480486867"/>
      <w:bookmarkStart w:id="2177" w:name="_Toc497456574"/>
      <w:bookmarkStart w:id="2178" w:name="_Toc483668213"/>
      <w:bookmarkStart w:id="2179" w:name="_Toc490222629"/>
      <w:bookmarkStart w:id="2180" w:name="_Toc480487039"/>
      <w:bookmarkStart w:id="2181" w:name="_Toc179632763"/>
      <w:r>
        <w:rPr>
          <w:rFonts w:hint="eastAsia" w:ascii="宋体" w:hAnsi="宋体" w:cs="宋体"/>
          <w:szCs w:val="21"/>
        </w:rPr>
        <w:t>20.3  人身意外伤害险</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14:paraId="408F37B3">
      <w:pPr>
        <w:tabs>
          <w:tab w:val="left" w:pos="3855"/>
        </w:tabs>
        <w:spacing w:line="360" w:lineRule="auto"/>
        <w:outlineLvl w:val="2"/>
        <w:rPr>
          <w:rFonts w:ascii="宋体" w:hAnsi="宋体" w:cs="宋体"/>
          <w:szCs w:val="21"/>
        </w:rPr>
      </w:pPr>
      <w:r>
        <w:rPr>
          <w:rFonts w:hint="eastAsia" w:ascii="宋体" w:hAnsi="宋体" w:cs="宋体"/>
          <w:szCs w:val="21"/>
        </w:rPr>
        <w:t>20.3.1  发包人应在整个施工期间为其现场机构雇用的全部人员，投保人身意外伤害险，缴纳保险费，并要求其监理人也进行此项保险。</w:t>
      </w:r>
    </w:p>
    <w:p w14:paraId="51589954">
      <w:pPr>
        <w:tabs>
          <w:tab w:val="left" w:pos="3855"/>
        </w:tabs>
        <w:spacing w:line="360" w:lineRule="auto"/>
        <w:outlineLvl w:val="2"/>
        <w:rPr>
          <w:rFonts w:ascii="宋体" w:hAnsi="宋体" w:cs="宋体"/>
          <w:szCs w:val="21"/>
        </w:rPr>
      </w:pPr>
      <w:r>
        <w:rPr>
          <w:rFonts w:hint="eastAsia" w:ascii="宋体" w:hAnsi="宋体" w:cs="宋体"/>
          <w:szCs w:val="21"/>
        </w:rPr>
        <w:t>20.3.2  承包人应在整个施工期间为其现场机构雇用的全部人员，投保人身意外伤害险，缴纳保险费，并要求其分包人也进行此项保险。</w:t>
      </w:r>
    </w:p>
    <w:p w14:paraId="4EFF1A69">
      <w:pPr>
        <w:tabs>
          <w:tab w:val="left" w:pos="3855"/>
        </w:tabs>
        <w:spacing w:line="360" w:lineRule="auto"/>
        <w:outlineLvl w:val="1"/>
        <w:rPr>
          <w:rFonts w:ascii="宋体" w:hAnsi="宋体" w:cs="宋体"/>
          <w:szCs w:val="21"/>
        </w:rPr>
      </w:pPr>
      <w:bookmarkStart w:id="2182" w:name="_Toc497456575"/>
      <w:bookmarkStart w:id="2183" w:name="_Toc480487040"/>
      <w:bookmarkStart w:id="2184" w:name="_Toc338944839"/>
      <w:bookmarkStart w:id="2185" w:name="_Toc480486868"/>
      <w:bookmarkStart w:id="2186" w:name="_Toc489279996"/>
      <w:bookmarkStart w:id="2187" w:name="_Toc483668214"/>
      <w:bookmarkStart w:id="2188" w:name="_Toc490222630"/>
      <w:bookmarkStart w:id="2189" w:name="_Toc486580185"/>
      <w:bookmarkStart w:id="2190" w:name="_Toc342296397"/>
      <w:r>
        <w:rPr>
          <w:rFonts w:hint="eastAsia" w:ascii="宋体" w:hAnsi="宋体" w:cs="宋体"/>
          <w:szCs w:val="21"/>
        </w:rPr>
        <w:t>20.4  第三者责任险</w:t>
      </w:r>
      <w:bookmarkEnd w:id="2182"/>
      <w:bookmarkEnd w:id="2183"/>
      <w:bookmarkEnd w:id="2184"/>
      <w:bookmarkEnd w:id="2185"/>
      <w:bookmarkEnd w:id="2186"/>
      <w:bookmarkEnd w:id="2187"/>
      <w:bookmarkEnd w:id="2188"/>
      <w:bookmarkEnd w:id="2189"/>
      <w:bookmarkEnd w:id="2190"/>
    </w:p>
    <w:p w14:paraId="2BA50164">
      <w:pPr>
        <w:tabs>
          <w:tab w:val="left" w:pos="3855"/>
        </w:tabs>
        <w:spacing w:line="360" w:lineRule="auto"/>
        <w:outlineLvl w:val="2"/>
        <w:rPr>
          <w:rFonts w:ascii="宋体" w:hAnsi="宋体" w:cs="宋体"/>
          <w:szCs w:val="21"/>
        </w:rPr>
      </w:pPr>
      <w:r>
        <w:rPr>
          <w:rFonts w:hint="eastAsia" w:ascii="宋体" w:hAnsi="宋体" w:cs="宋体"/>
          <w:szCs w:val="21"/>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4332B99">
      <w:pPr>
        <w:tabs>
          <w:tab w:val="left" w:pos="3855"/>
        </w:tabs>
        <w:spacing w:line="360" w:lineRule="auto"/>
        <w:outlineLvl w:val="2"/>
        <w:rPr>
          <w:rFonts w:ascii="宋体" w:hAnsi="宋体" w:cs="宋体"/>
          <w:szCs w:val="21"/>
        </w:rPr>
      </w:pPr>
      <w:r>
        <w:rPr>
          <w:rFonts w:hint="eastAsia" w:ascii="宋体" w:hAnsi="宋体" w:cs="宋体"/>
          <w:szCs w:val="21"/>
        </w:rPr>
        <w:t>20.4.2  在缺陷责任期终止证书颁发前，承包人应以承包人和发包人的共同名义，投保第20.4.1项约定的第三者责任险，其保险费率、保险金额、保险费承担人等有关内容见合同条款专用部分。</w:t>
      </w:r>
    </w:p>
    <w:p w14:paraId="6A1C775A">
      <w:pPr>
        <w:tabs>
          <w:tab w:val="left" w:pos="3855"/>
        </w:tabs>
        <w:spacing w:line="360" w:lineRule="auto"/>
        <w:outlineLvl w:val="1"/>
        <w:rPr>
          <w:rFonts w:ascii="宋体" w:hAnsi="宋体" w:cs="宋体"/>
          <w:szCs w:val="21"/>
        </w:rPr>
      </w:pPr>
      <w:bookmarkStart w:id="2191" w:name="_Toc338944840"/>
      <w:bookmarkStart w:id="2192" w:name="_Toc489279997"/>
      <w:bookmarkStart w:id="2193" w:name="_Toc497456576"/>
      <w:bookmarkStart w:id="2194" w:name="_Toc486580186"/>
      <w:bookmarkStart w:id="2195" w:name="_Toc480486869"/>
      <w:bookmarkStart w:id="2196" w:name="_Toc490222631"/>
      <w:bookmarkStart w:id="2197" w:name="_Toc480487041"/>
      <w:bookmarkStart w:id="2198" w:name="_Toc483668215"/>
      <w:bookmarkStart w:id="2199" w:name="_Toc342296398"/>
      <w:r>
        <w:rPr>
          <w:rFonts w:hint="eastAsia" w:ascii="宋体" w:hAnsi="宋体" w:cs="宋体"/>
          <w:szCs w:val="21"/>
        </w:rPr>
        <w:t>20.5  其他保险</w:t>
      </w:r>
      <w:bookmarkEnd w:id="2191"/>
      <w:bookmarkEnd w:id="2192"/>
      <w:bookmarkEnd w:id="2193"/>
      <w:bookmarkEnd w:id="2194"/>
      <w:bookmarkEnd w:id="2195"/>
      <w:bookmarkEnd w:id="2196"/>
      <w:bookmarkEnd w:id="2197"/>
      <w:bookmarkEnd w:id="2198"/>
      <w:bookmarkEnd w:id="2199"/>
    </w:p>
    <w:p w14:paraId="611BB1C0">
      <w:pPr>
        <w:tabs>
          <w:tab w:val="left" w:pos="3855"/>
        </w:tabs>
        <w:spacing w:line="360" w:lineRule="auto"/>
        <w:rPr>
          <w:rFonts w:ascii="宋体" w:hAnsi="宋体" w:cs="宋体"/>
          <w:szCs w:val="21"/>
        </w:rPr>
      </w:pPr>
      <w:r>
        <w:rPr>
          <w:rFonts w:hint="eastAsia" w:ascii="宋体" w:hAnsi="宋体" w:cs="宋体"/>
          <w:szCs w:val="21"/>
        </w:rPr>
        <w:t>承包人应为其施工设备、进场的材料和工程设备等办理保险。办理保险的险种见合同条款专用部分。</w:t>
      </w:r>
    </w:p>
    <w:p w14:paraId="7E7F0ED4">
      <w:pPr>
        <w:tabs>
          <w:tab w:val="left" w:pos="3855"/>
        </w:tabs>
        <w:spacing w:line="360" w:lineRule="auto"/>
        <w:outlineLvl w:val="1"/>
        <w:rPr>
          <w:rFonts w:ascii="宋体" w:hAnsi="宋体" w:cs="宋体"/>
          <w:szCs w:val="21"/>
        </w:rPr>
      </w:pPr>
      <w:bookmarkStart w:id="2200" w:name="_Toc483668216"/>
      <w:bookmarkStart w:id="2201" w:name="_Toc486580187"/>
      <w:bookmarkStart w:id="2202" w:name="_Toc338944841"/>
      <w:bookmarkStart w:id="2203" w:name="_Toc480487042"/>
      <w:bookmarkStart w:id="2204" w:name="_Toc489279998"/>
      <w:bookmarkStart w:id="2205" w:name="_Toc497456577"/>
      <w:bookmarkStart w:id="2206" w:name="_Toc490222632"/>
      <w:bookmarkStart w:id="2207" w:name="_Toc342296399"/>
      <w:bookmarkStart w:id="2208" w:name="_Toc480486870"/>
      <w:r>
        <w:rPr>
          <w:rFonts w:hint="eastAsia" w:ascii="宋体" w:hAnsi="宋体" w:cs="宋体"/>
          <w:szCs w:val="21"/>
        </w:rPr>
        <w:t>20.6  对各项保险的一般要求</w:t>
      </w:r>
      <w:bookmarkEnd w:id="2200"/>
      <w:bookmarkEnd w:id="2201"/>
      <w:bookmarkEnd w:id="2202"/>
      <w:bookmarkEnd w:id="2203"/>
      <w:bookmarkEnd w:id="2204"/>
      <w:bookmarkEnd w:id="2205"/>
      <w:bookmarkEnd w:id="2206"/>
      <w:bookmarkEnd w:id="2207"/>
      <w:bookmarkEnd w:id="2208"/>
    </w:p>
    <w:p w14:paraId="6B68D36C">
      <w:pPr>
        <w:tabs>
          <w:tab w:val="left" w:pos="3855"/>
        </w:tabs>
        <w:spacing w:line="360" w:lineRule="auto"/>
        <w:outlineLvl w:val="2"/>
        <w:rPr>
          <w:rFonts w:ascii="宋体" w:hAnsi="宋体" w:cs="宋体"/>
          <w:szCs w:val="21"/>
        </w:rPr>
      </w:pPr>
      <w:r>
        <w:rPr>
          <w:rFonts w:hint="eastAsia" w:ascii="宋体" w:hAnsi="宋体" w:cs="宋体"/>
          <w:szCs w:val="21"/>
        </w:rPr>
        <w:t>20.6.1  保险凭证</w:t>
      </w:r>
    </w:p>
    <w:p w14:paraId="2F83D28B">
      <w:pPr>
        <w:tabs>
          <w:tab w:val="left" w:pos="3855"/>
        </w:tabs>
        <w:spacing w:line="360" w:lineRule="auto"/>
        <w:rPr>
          <w:rFonts w:ascii="宋体" w:hAnsi="宋体" w:cs="宋体"/>
          <w:szCs w:val="21"/>
        </w:rPr>
      </w:pPr>
      <w:r>
        <w:rPr>
          <w:rFonts w:hint="eastAsia" w:ascii="宋体" w:hAnsi="宋体" w:cs="宋体"/>
          <w:szCs w:val="21"/>
        </w:rPr>
        <w:t>承包人应在合同约定的期限内向发包人提交各项保险生效的证据和保险单副本，保险单必须与合同约定的条件保持一致。各项保险生效的证据和保险单副本的期限见合同条款专用部分。</w:t>
      </w:r>
    </w:p>
    <w:p w14:paraId="6F30DF28">
      <w:pPr>
        <w:tabs>
          <w:tab w:val="left" w:pos="3855"/>
        </w:tabs>
        <w:spacing w:line="360" w:lineRule="auto"/>
        <w:outlineLvl w:val="2"/>
        <w:rPr>
          <w:rFonts w:ascii="宋体" w:hAnsi="宋体" w:cs="宋体"/>
          <w:szCs w:val="21"/>
        </w:rPr>
      </w:pPr>
      <w:r>
        <w:rPr>
          <w:rFonts w:hint="eastAsia" w:ascii="宋体" w:hAnsi="宋体" w:cs="宋体"/>
          <w:szCs w:val="21"/>
        </w:rPr>
        <w:t>20.6.2  保险合同条款的变动</w:t>
      </w:r>
    </w:p>
    <w:p w14:paraId="40EDF85E">
      <w:pPr>
        <w:tabs>
          <w:tab w:val="left" w:pos="3855"/>
        </w:tabs>
        <w:spacing w:line="360" w:lineRule="auto"/>
        <w:rPr>
          <w:rFonts w:ascii="宋体" w:hAnsi="宋体" w:cs="宋体"/>
          <w:szCs w:val="21"/>
        </w:rPr>
      </w:pPr>
      <w:r>
        <w:rPr>
          <w:rFonts w:hint="eastAsia" w:ascii="宋体" w:hAnsi="宋体" w:cs="宋体"/>
          <w:szCs w:val="21"/>
        </w:rPr>
        <w:t>承包人需要变动保险合同条款时，应事先征得发包人同意，并通知监理人。保险人作出变动的，承包人应在收到保险人通知后立即通知发包人和监理人。</w:t>
      </w:r>
    </w:p>
    <w:p w14:paraId="045E0B4A">
      <w:pPr>
        <w:tabs>
          <w:tab w:val="left" w:pos="3855"/>
        </w:tabs>
        <w:spacing w:line="360" w:lineRule="auto"/>
        <w:outlineLvl w:val="2"/>
        <w:rPr>
          <w:rFonts w:ascii="宋体" w:hAnsi="宋体" w:cs="宋体"/>
          <w:szCs w:val="21"/>
        </w:rPr>
      </w:pPr>
      <w:r>
        <w:rPr>
          <w:rFonts w:hint="eastAsia" w:ascii="宋体" w:hAnsi="宋体" w:cs="宋体"/>
          <w:szCs w:val="21"/>
        </w:rPr>
        <w:t>20.6.3  持续保险</w:t>
      </w:r>
    </w:p>
    <w:p w14:paraId="26E3C0E5">
      <w:pPr>
        <w:tabs>
          <w:tab w:val="left" w:pos="3855"/>
        </w:tabs>
        <w:spacing w:line="360" w:lineRule="auto"/>
        <w:rPr>
          <w:rFonts w:ascii="宋体" w:hAnsi="宋体" w:cs="宋体"/>
          <w:szCs w:val="21"/>
        </w:rPr>
      </w:pPr>
      <w:r>
        <w:rPr>
          <w:rFonts w:hint="eastAsia" w:ascii="宋体" w:hAnsi="宋体" w:cs="宋体"/>
          <w:szCs w:val="21"/>
        </w:rPr>
        <w:t>承包人应与保险人保持联系，使保险人能够随时了解工程实施中的变动，并确保按保险合同条款要求持续保险。</w:t>
      </w:r>
    </w:p>
    <w:p w14:paraId="0A6BCEB6">
      <w:pPr>
        <w:tabs>
          <w:tab w:val="left" w:pos="3855"/>
        </w:tabs>
        <w:spacing w:line="360" w:lineRule="auto"/>
        <w:outlineLvl w:val="2"/>
        <w:rPr>
          <w:rFonts w:ascii="宋体" w:hAnsi="宋体" w:cs="宋体"/>
          <w:szCs w:val="21"/>
        </w:rPr>
      </w:pPr>
      <w:r>
        <w:rPr>
          <w:rFonts w:hint="eastAsia" w:ascii="宋体" w:hAnsi="宋体" w:cs="宋体"/>
          <w:szCs w:val="21"/>
        </w:rPr>
        <w:t>20.6.4  保险金不足的补偿</w:t>
      </w:r>
    </w:p>
    <w:p w14:paraId="64E5D476">
      <w:pPr>
        <w:tabs>
          <w:tab w:val="left" w:pos="3855"/>
        </w:tabs>
        <w:spacing w:line="360" w:lineRule="auto"/>
        <w:rPr>
          <w:rFonts w:ascii="宋体" w:hAnsi="宋体" w:cs="宋体"/>
          <w:szCs w:val="21"/>
        </w:rPr>
      </w:pPr>
      <w:r>
        <w:rPr>
          <w:rFonts w:hint="eastAsia" w:ascii="宋体" w:hAnsi="宋体" w:cs="宋体"/>
          <w:szCs w:val="21"/>
        </w:rPr>
        <w:t>保险金不足以补偿损失的，应由承包人和（或）发包人按合同约定负责补偿。保险金不足的补偿原则见合同条款专用部分。</w:t>
      </w:r>
    </w:p>
    <w:p w14:paraId="6014A37C">
      <w:pPr>
        <w:tabs>
          <w:tab w:val="left" w:pos="3855"/>
        </w:tabs>
        <w:spacing w:line="360" w:lineRule="auto"/>
        <w:outlineLvl w:val="2"/>
        <w:rPr>
          <w:rFonts w:ascii="宋体" w:hAnsi="宋体" w:cs="宋体"/>
          <w:szCs w:val="21"/>
        </w:rPr>
      </w:pPr>
      <w:r>
        <w:rPr>
          <w:rFonts w:hint="eastAsia" w:ascii="宋体" w:hAnsi="宋体" w:cs="宋体"/>
          <w:szCs w:val="21"/>
        </w:rPr>
        <w:t>20.6.5  未按约定投保的补救</w:t>
      </w:r>
    </w:p>
    <w:p w14:paraId="12D0A61D">
      <w:pPr>
        <w:tabs>
          <w:tab w:val="left" w:pos="3855"/>
        </w:tabs>
        <w:spacing w:line="360" w:lineRule="auto"/>
        <w:rPr>
          <w:rFonts w:ascii="宋体" w:hAnsi="宋体" w:cs="宋体"/>
          <w:szCs w:val="21"/>
        </w:rPr>
      </w:pPr>
      <w:r>
        <w:rPr>
          <w:rFonts w:hint="eastAsia" w:ascii="宋体" w:hAnsi="宋体" w:cs="宋体"/>
          <w:szCs w:val="21"/>
        </w:rPr>
        <w:t>（1）由于负有投保义务的一方当事人未按合同约定办理保险，或未能使保险持续有效的，另一方当事人可代为办理，所需费用由对方当事人承担。</w:t>
      </w:r>
    </w:p>
    <w:p w14:paraId="698166BF">
      <w:pPr>
        <w:tabs>
          <w:tab w:val="left" w:pos="3855"/>
        </w:tabs>
        <w:spacing w:line="360" w:lineRule="auto"/>
        <w:rPr>
          <w:rFonts w:ascii="宋体" w:hAnsi="宋体" w:cs="宋体"/>
          <w:szCs w:val="21"/>
        </w:rPr>
      </w:pPr>
      <w:r>
        <w:rPr>
          <w:rFonts w:hint="eastAsia" w:ascii="宋体" w:hAnsi="宋体" w:cs="宋体"/>
          <w:szCs w:val="21"/>
        </w:rPr>
        <w:t>（2）由于负有投保义务的一方当事人未按合同约定办理某项保险，导致受益人未能得到保险人的赔偿，原应从该项保险得到的保险金应由负有投保义务的一方当事人支付。</w:t>
      </w:r>
    </w:p>
    <w:p w14:paraId="244FA0C7">
      <w:pPr>
        <w:tabs>
          <w:tab w:val="left" w:pos="3855"/>
        </w:tabs>
        <w:spacing w:line="360" w:lineRule="auto"/>
        <w:outlineLvl w:val="2"/>
        <w:rPr>
          <w:rFonts w:ascii="宋体" w:hAnsi="宋体" w:cs="宋体"/>
          <w:szCs w:val="21"/>
        </w:rPr>
      </w:pPr>
      <w:r>
        <w:rPr>
          <w:rFonts w:hint="eastAsia" w:ascii="宋体" w:hAnsi="宋体" w:cs="宋体"/>
          <w:szCs w:val="21"/>
        </w:rPr>
        <w:t>20.6.6  报告义务</w:t>
      </w:r>
    </w:p>
    <w:p w14:paraId="1DD7C1A5">
      <w:pPr>
        <w:tabs>
          <w:tab w:val="left" w:pos="3855"/>
        </w:tabs>
        <w:spacing w:line="360" w:lineRule="auto"/>
        <w:rPr>
          <w:rFonts w:ascii="宋体" w:hAnsi="宋体" w:cs="宋体"/>
          <w:szCs w:val="21"/>
        </w:rPr>
      </w:pPr>
      <w:r>
        <w:rPr>
          <w:rFonts w:hint="eastAsia" w:ascii="宋体" w:hAnsi="宋体" w:cs="宋体"/>
          <w:szCs w:val="21"/>
        </w:rPr>
        <w:t>当保险事故发生时，投保人应按照保险单规定的条件和期限及时向保险人报告。</w:t>
      </w:r>
    </w:p>
    <w:p w14:paraId="792C9820">
      <w:pPr>
        <w:tabs>
          <w:tab w:val="left" w:pos="3855"/>
        </w:tabs>
        <w:spacing w:line="360" w:lineRule="auto"/>
        <w:outlineLvl w:val="0"/>
        <w:rPr>
          <w:rFonts w:ascii="宋体" w:hAnsi="宋体" w:cs="宋体"/>
          <w:szCs w:val="21"/>
        </w:rPr>
      </w:pPr>
      <w:bookmarkStart w:id="2209" w:name="_Toc483668217"/>
      <w:bookmarkStart w:id="2210" w:name="_Toc497456578"/>
      <w:bookmarkStart w:id="2211" w:name="_Toc480487043"/>
      <w:bookmarkStart w:id="2212" w:name="_Toc342296400"/>
      <w:bookmarkStart w:id="2213" w:name="_Toc490222633"/>
      <w:bookmarkStart w:id="2214" w:name="_Toc486580188"/>
      <w:bookmarkStart w:id="2215" w:name="_Toc338944842"/>
      <w:bookmarkStart w:id="2216" w:name="_Toc489279999"/>
      <w:bookmarkStart w:id="2217" w:name="_Toc480486871"/>
      <w:r>
        <w:rPr>
          <w:rFonts w:hint="eastAsia" w:ascii="宋体" w:hAnsi="宋体" w:cs="宋体"/>
          <w:szCs w:val="21"/>
        </w:rPr>
        <w:t>21.不可抗力</w:t>
      </w:r>
      <w:bookmarkEnd w:id="2209"/>
      <w:bookmarkEnd w:id="2210"/>
      <w:bookmarkEnd w:id="2211"/>
      <w:bookmarkEnd w:id="2212"/>
      <w:bookmarkEnd w:id="2213"/>
      <w:bookmarkEnd w:id="2214"/>
      <w:bookmarkEnd w:id="2215"/>
      <w:bookmarkEnd w:id="2216"/>
      <w:bookmarkEnd w:id="2217"/>
    </w:p>
    <w:p w14:paraId="3ED504E0">
      <w:pPr>
        <w:tabs>
          <w:tab w:val="left" w:pos="3855"/>
        </w:tabs>
        <w:spacing w:line="360" w:lineRule="auto"/>
        <w:outlineLvl w:val="1"/>
        <w:rPr>
          <w:rFonts w:ascii="宋体" w:hAnsi="宋体" w:cs="宋体"/>
          <w:szCs w:val="21"/>
        </w:rPr>
      </w:pPr>
      <w:bookmarkStart w:id="2218" w:name="_Toc497456579"/>
      <w:bookmarkStart w:id="2219" w:name="_Toc483668218"/>
      <w:bookmarkStart w:id="2220" w:name="_Toc480487044"/>
      <w:bookmarkStart w:id="2221" w:name="_Toc486580189"/>
      <w:bookmarkStart w:id="2222" w:name="_Toc490222634"/>
      <w:bookmarkStart w:id="2223" w:name="_Toc489280000"/>
      <w:bookmarkStart w:id="2224" w:name="_Toc342296401"/>
      <w:bookmarkStart w:id="2225" w:name="_Toc338944843"/>
      <w:bookmarkStart w:id="2226" w:name="_Toc480486872"/>
      <w:r>
        <w:rPr>
          <w:rFonts w:hint="eastAsia" w:ascii="宋体" w:hAnsi="宋体" w:cs="宋体"/>
          <w:szCs w:val="21"/>
        </w:rPr>
        <w:t>21.1  不可抗力的确认</w:t>
      </w:r>
      <w:bookmarkEnd w:id="2218"/>
      <w:bookmarkEnd w:id="2219"/>
      <w:bookmarkEnd w:id="2220"/>
      <w:bookmarkEnd w:id="2221"/>
      <w:bookmarkEnd w:id="2222"/>
      <w:bookmarkEnd w:id="2223"/>
      <w:bookmarkEnd w:id="2224"/>
      <w:bookmarkEnd w:id="2225"/>
      <w:bookmarkEnd w:id="2226"/>
    </w:p>
    <w:p w14:paraId="0D28EBF5">
      <w:pPr>
        <w:tabs>
          <w:tab w:val="left" w:pos="3855"/>
        </w:tabs>
        <w:spacing w:line="360" w:lineRule="auto"/>
        <w:outlineLvl w:val="2"/>
        <w:rPr>
          <w:rFonts w:ascii="宋体" w:hAnsi="宋体" w:cs="宋体"/>
          <w:szCs w:val="21"/>
        </w:rPr>
      </w:pPr>
      <w:r>
        <w:rPr>
          <w:rFonts w:hint="eastAsia" w:ascii="宋体" w:hAnsi="宋体" w:cs="宋体"/>
          <w:szCs w:val="21"/>
        </w:rPr>
        <w:t>21.1.1  不可抗力是指承包人和发包人在订立合同时不可预见，在工程施工过程中不可避免发生并不能克服的自然灾害和社会性突发事件，如地震、海啸、瘟疫、水灾、骚乱、暴动、战争和合同约定的其他情形。其他情形见合同条款专用部分。</w:t>
      </w:r>
    </w:p>
    <w:p w14:paraId="75F0BCAA">
      <w:pPr>
        <w:tabs>
          <w:tab w:val="left" w:pos="3855"/>
        </w:tabs>
        <w:spacing w:line="360" w:lineRule="auto"/>
        <w:outlineLvl w:val="2"/>
        <w:rPr>
          <w:rFonts w:ascii="宋体" w:hAnsi="宋体" w:cs="宋体"/>
          <w:szCs w:val="21"/>
        </w:rPr>
      </w:pPr>
      <w:r>
        <w:rPr>
          <w:rFonts w:hint="eastAsia" w:ascii="宋体" w:hAnsi="宋体" w:cs="宋体"/>
          <w:szCs w:val="21"/>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2F82BB79">
      <w:pPr>
        <w:tabs>
          <w:tab w:val="left" w:pos="3855"/>
        </w:tabs>
        <w:spacing w:line="360" w:lineRule="auto"/>
        <w:outlineLvl w:val="1"/>
        <w:rPr>
          <w:rFonts w:ascii="宋体" w:hAnsi="宋体" w:cs="宋体"/>
          <w:szCs w:val="21"/>
        </w:rPr>
      </w:pPr>
      <w:bookmarkStart w:id="2227" w:name="_Toc342296402"/>
      <w:bookmarkStart w:id="2228" w:name="_Toc490222635"/>
      <w:bookmarkStart w:id="2229" w:name="_Toc480487045"/>
      <w:bookmarkStart w:id="2230" w:name="_Toc144974722"/>
      <w:bookmarkStart w:id="2231" w:name="_Toc486580190"/>
      <w:bookmarkStart w:id="2232" w:name="_Toc338944844"/>
      <w:bookmarkStart w:id="2233" w:name="_Toc152045751"/>
      <w:bookmarkStart w:id="2234" w:name="_Toc480486873"/>
      <w:bookmarkStart w:id="2235" w:name="_Toc179632769"/>
      <w:bookmarkStart w:id="2236" w:name="_Toc483668219"/>
      <w:bookmarkStart w:id="2237" w:name="_Toc497456580"/>
      <w:bookmarkStart w:id="2238" w:name="_Toc152042530"/>
      <w:bookmarkStart w:id="2239" w:name="_Toc489280001"/>
      <w:r>
        <w:rPr>
          <w:rFonts w:hint="eastAsia" w:ascii="宋体" w:hAnsi="宋体" w:cs="宋体"/>
          <w:szCs w:val="21"/>
        </w:rPr>
        <w:t>21.2  不可抗力的通知</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p>
    <w:p w14:paraId="455ED238">
      <w:pPr>
        <w:tabs>
          <w:tab w:val="left" w:pos="3855"/>
        </w:tabs>
        <w:spacing w:line="360" w:lineRule="auto"/>
        <w:outlineLvl w:val="2"/>
        <w:rPr>
          <w:rFonts w:ascii="宋体" w:hAnsi="宋体" w:cs="宋体"/>
          <w:szCs w:val="21"/>
        </w:rPr>
      </w:pPr>
      <w:r>
        <w:rPr>
          <w:rFonts w:hint="eastAsia" w:ascii="宋体" w:hAnsi="宋体" w:cs="宋体"/>
          <w:szCs w:val="21"/>
        </w:rPr>
        <w:t>21.2.1  合同一方当事人遇到不可抗力事件，使其履行合同义务受到阻碍时，应立即通知合同另一方当事人和监理人，书面说明不可抗力和受阻碍的详细情况，并提供必要的证明。</w:t>
      </w:r>
    </w:p>
    <w:p w14:paraId="61B39033">
      <w:pPr>
        <w:tabs>
          <w:tab w:val="left" w:pos="3855"/>
        </w:tabs>
        <w:spacing w:line="360" w:lineRule="auto"/>
        <w:outlineLvl w:val="2"/>
        <w:rPr>
          <w:rFonts w:ascii="宋体" w:hAnsi="宋体" w:cs="宋体"/>
          <w:szCs w:val="21"/>
        </w:rPr>
      </w:pPr>
      <w:r>
        <w:rPr>
          <w:rFonts w:hint="eastAsia" w:ascii="宋体" w:hAnsi="宋体" w:cs="宋体"/>
          <w:szCs w:val="21"/>
        </w:rPr>
        <w:t>21.2.2  如不可抗力持续发生，合同一方当事人应及时向合同另一方当事人和监理人提交中间报告，说明不可抗力和履行合同受阻的情况，并于不可抗力事件结束后28天内提交最终报告及有关资料。</w:t>
      </w:r>
    </w:p>
    <w:p w14:paraId="40AFD6E9">
      <w:pPr>
        <w:tabs>
          <w:tab w:val="left" w:pos="3855"/>
        </w:tabs>
        <w:spacing w:line="360" w:lineRule="auto"/>
        <w:outlineLvl w:val="1"/>
        <w:rPr>
          <w:rFonts w:ascii="宋体" w:hAnsi="宋体" w:cs="宋体"/>
          <w:szCs w:val="21"/>
        </w:rPr>
      </w:pPr>
      <w:bookmarkStart w:id="2240" w:name="_Toc486580191"/>
      <w:bookmarkStart w:id="2241" w:name="_Toc490222636"/>
      <w:bookmarkStart w:id="2242" w:name="_Toc480487046"/>
      <w:bookmarkStart w:id="2243" w:name="_Toc497456581"/>
      <w:bookmarkStart w:id="2244" w:name="_Toc338944845"/>
      <w:bookmarkStart w:id="2245" w:name="_Toc342296403"/>
      <w:bookmarkStart w:id="2246" w:name="_Toc483668220"/>
      <w:bookmarkStart w:id="2247" w:name="_Toc489280002"/>
      <w:bookmarkStart w:id="2248" w:name="_Toc480486874"/>
      <w:r>
        <w:rPr>
          <w:rFonts w:hint="eastAsia" w:ascii="宋体" w:hAnsi="宋体" w:cs="宋体"/>
          <w:szCs w:val="21"/>
        </w:rPr>
        <w:t>21.3  不可抗力后果及其处理</w:t>
      </w:r>
      <w:bookmarkEnd w:id="2240"/>
      <w:bookmarkEnd w:id="2241"/>
      <w:bookmarkEnd w:id="2242"/>
      <w:bookmarkEnd w:id="2243"/>
      <w:bookmarkEnd w:id="2244"/>
      <w:bookmarkEnd w:id="2245"/>
      <w:bookmarkEnd w:id="2246"/>
      <w:bookmarkEnd w:id="2247"/>
      <w:bookmarkEnd w:id="2248"/>
    </w:p>
    <w:p w14:paraId="34D46F14">
      <w:pPr>
        <w:tabs>
          <w:tab w:val="left" w:pos="3855"/>
        </w:tabs>
        <w:spacing w:line="360" w:lineRule="auto"/>
        <w:outlineLvl w:val="2"/>
        <w:rPr>
          <w:rFonts w:ascii="宋体" w:hAnsi="宋体" w:cs="宋体"/>
          <w:szCs w:val="21"/>
        </w:rPr>
      </w:pPr>
      <w:r>
        <w:rPr>
          <w:rFonts w:hint="eastAsia" w:ascii="宋体" w:hAnsi="宋体" w:cs="宋体"/>
          <w:szCs w:val="21"/>
        </w:rPr>
        <w:t>21.3.1  不可抗力造成损害的责任</w:t>
      </w:r>
    </w:p>
    <w:p w14:paraId="54B62237">
      <w:pPr>
        <w:tabs>
          <w:tab w:val="left" w:pos="3855"/>
        </w:tabs>
        <w:spacing w:line="360" w:lineRule="auto"/>
        <w:rPr>
          <w:rFonts w:ascii="宋体" w:hAnsi="宋体" w:cs="宋体"/>
          <w:szCs w:val="21"/>
        </w:rPr>
      </w:pPr>
      <w:r>
        <w:rPr>
          <w:rFonts w:hint="eastAsia" w:ascii="宋体" w:hAnsi="宋体" w:cs="宋体"/>
          <w:szCs w:val="21"/>
        </w:rPr>
        <w:t xml:space="preserve">不可抗力导致的人员伤亡、财产损失、费用增加和（或）工期延误等后果，由合同双方按以下原则承担： </w:t>
      </w:r>
    </w:p>
    <w:p w14:paraId="6A4B6A8D">
      <w:pPr>
        <w:tabs>
          <w:tab w:val="left" w:pos="3855"/>
        </w:tabs>
        <w:spacing w:line="360" w:lineRule="auto"/>
        <w:rPr>
          <w:rFonts w:ascii="宋体" w:hAnsi="宋体" w:cs="宋体"/>
          <w:szCs w:val="21"/>
        </w:rPr>
      </w:pPr>
      <w:r>
        <w:rPr>
          <w:rFonts w:hint="eastAsia" w:ascii="宋体" w:hAnsi="宋体" w:cs="宋体"/>
          <w:szCs w:val="21"/>
        </w:rPr>
        <w:t>（1）永久工程，包括已运至施工场地的材料和工程设备的损害，以及因工程损害造成的第三者人员伤亡和财产损失由发包人承担；</w:t>
      </w:r>
    </w:p>
    <w:p w14:paraId="6A438381">
      <w:pPr>
        <w:tabs>
          <w:tab w:val="left" w:pos="3855"/>
        </w:tabs>
        <w:spacing w:line="360" w:lineRule="auto"/>
        <w:rPr>
          <w:rFonts w:ascii="宋体" w:hAnsi="宋体" w:cs="宋体"/>
          <w:szCs w:val="21"/>
        </w:rPr>
      </w:pPr>
      <w:r>
        <w:rPr>
          <w:rFonts w:hint="eastAsia" w:ascii="宋体" w:hAnsi="宋体" w:cs="宋体"/>
          <w:szCs w:val="21"/>
        </w:rPr>
        <w:t>（2）承包人设备的损坏由承包人承担；</w:t>
      </w:r>
    </w:p>
    <w:p w14:paraId="3B18D55D">
      <w:pPr>
        <w:tabs>
          <w:tab w:val="left" w:pos="3855"/>
        </w:tabs>
        <w:spacing w:line="360" w:lineRule="auto"/>
        <w:rPr>
          <w:rFonts w:ascii="宋体" w:hAnsi="宋体" w:cs="宋体"/>
          <w:szCs w:val="21"/>
        </w:rPr>
      </w:pPr>
      <w:r>
        <w:rPr>
          <w:rFonts w:hint="eastAsia" w:ascii="宋体" w:hAnsi="宋体" w:cs="宋体"/>
          <w:szCs w:val="21"/>
        </w:rPr>
        <w:t>（3）发包人和承包人各自承担其人员伤亡和其他财产损失及其相关费用；</w:t>
      </w:r>
    </w:p>
    <w:p w14:paraId="42BE2109">
      <w:pPr>
        <w:tabs>
          <w:tab w:val="left" w:pos="3855"/>
        </w:tabs>
        <w:spacing w:line="360" w:lineRule="auto"/>
        <w:rPr>
          <w:rFonts w:ascii="宋体" w:hAnsi="宋体" w:cs="宋体"/>
          <w:szCs w:val="21"/>
        </w:rPr>
      </w:pPr>
      <w:r>
        <w:rPr>
          <w:rFonts w:hint="eastAsia" w:ascii="宋体" w:hAnsi="宋体" w:cs="宋体"/>
          <w:szCs w:val="21"/>
        </w:rPr>
        <w:t>（4）承包人的停工损失由承包人承担，但停工期间应监理人要求照管工程和清理、修复工程的金额由发包人承担；</w:t>
      </w:r>
    </w:p>
    <w:p w14:paraId="13061E5B">
      <w:pPr>
        <w:tabs>
          <w:tab w:val="left" w:pos="3855"/>
        </w:tabs>
        <w:spacing w:line="360" w:lineRule="auto"/>
        <w:rPr>
          <w:rFonts w:ascii="宋体" w:hAnsi="宋体" w:cs="宋体"/>
          <w:szCs w:val="21"/>
        </w:rPr>
      </w:pPr>
      <w:r>
        <w:rPr>
          <w:rFonts w:hint="eastAsia" w:ascii="宋体" w:hAnsi="宋体" w:cs="宋体"/>
          <w:szCs w:val="21"/>
        </w:rPr>
        <w:t>（5）不能按期竣工的，应合理延长工期，承包人不需支付逾期竣工违约金。发包人要求赶工的，承包人应采取赶工措施，赶工费用由发包人承担。</w:t>
      </w:r>
    </w:p>
    <w:p w14:paraId="6CC7327E">
      <w:pPr>
        <w:tabs>
          <w:tab w:val="left" w:pos="3855"/>
        </w:tabs>
        <w:spacing w:line="360" w:lineRule="auto"/>
        <w:outlineLvl w:val="2"/>
        <w:rPr>
          <w:rFonts w:ascii="宋体" w:hAnsi="宋体" w:cs="宋体"/>
          <w:szCs w:val="21"/>
        </w:rPr>
      </w:pPr>
      <w:r>
        <w:rPr>
          <w:rFonts w:hint="eastAsia" w:ascii="宋体" w:hAnsi="宋体" w:cs="宋体"/>
          <w:szCs w:val="21"/>
        </w:rPr>
        <w:t>21.3.2  延迟履行期间发生的不可抗力</w:t>
      </w:r>
    </w:p>
    <w:p w14:paraId="30E8F6C6">
      <w:pPr>
        <w:tabs>
          <w:tab w:val="left" w:pos="3855"/>
        </w:tabs>
        <w:spacing w:line="360" w:lineRule="auto"/>
        <w:rPr>
          <w:rFonts w:ascii="宋体" w:hAnsi="宋体" w:cs="宋体"/>
          <w:szCs w:val="21"/>
        </w:rPr>
      </w:pPr>
      <w:r>
        <w:rPr>
          <w:rFonts w:hint="eastAsia" w:ascii="宋体" w:hAnsi="宋体" w:cs="宋体"/>
          <w:szCs w:val="21"/>
        </w:rPr>
        <w:t>合同一方当事人延迟履行，在延迟履行期间发生不可抗力的，不免除其责任。</w:t>
      </w:r>
    </w:p>
    <w:p w14:paraId="744FCC17">
      <w:pPr>
        <w:tabs>
          <w:tab w:val="left" w:pos="3855"/>
        </w:tabs>
        <w:spacing w:line="360" w:lineRule="auto"/>
        <w:outlineLvl w:val="2"/>
        <w:rPr>
          <w:rFonts w:ascii="宋体" w:hAnsi="宋体" w:cs="宋体"/>
          <w:szCs w:val="21"/>
        </w:rPr>
      </w:pPr>
      <w:r>
        <w:rPr>
          <w:rFonts w:hint="eastAsia" w:ascii="宋体" w:hAnsi="宋体" w:cs="宋体"/>
          <w:szCs w:val="21"/>
        </w:rPr>
        <w:t>21.3.3  避免和减少不可抗力损失</w:t>
      </w:r>
    </w:p>
    <w:p w14:paraId="3455771B">
      <w:pPr>
        <w:tabs>
          <w:tab w:val="left" w:pos="3855"/>
        </w:tabs>
        <w:spacing w:line="360" w:lineRule="auto"/>
        <w:rPr>
          <w:rFonts w:ascii="宋体" w:hAnsi="宋体" w:cs="宋体"/>
          <w:szCs w:val="21"/>
        </w:rPr>
      </w:pPr>
      <w:r>
        <w:rPr>
          <w:rFonts w:hint="eastAsia" w:ascii="宋体" w:hAnsi="宋体" w:cs="宋体"/>
          <w:szCs w:val="21"/>
        </w:rPr>
        <w:t>不可抗力发生后，发包人和承包人均应采取措施尽量避免和减少损失的扩大，任何一方没有采取有效措施导致损失扩大的，应对扩大的损失承担责任。</w:t>
      </w:r>
    </w:p>
    <w:p w14:paraId="4DC71E40">
      <w:pPr>
        <w:tabs>
          <w:tab w:val="left" w:pos="3855"/>
        </w:tabs>
        <w:spacing w:line="360" w:lineRule="auto"/>
        <w:outlineLvl w:val="2"/>
        <w:rPr>
          <w:rFonts w:ascii="宋体" w:hAnsi="宋体" w:cs="宋体"/>
          <w:szCs w:val="21"/>
        </w:rPr>
      </w:pPr>
      <w:r>
        <w:rPr>
          <w:rFonts w:hint="eastAsia" w:ascii="宋体" w:hAnsi="宋体" w:cs="宋体"/>
          <w:szCs w:val="21"/>
        </w:rPr>
        <w:t>21.3.4  因不可抗力解除合同</w:t>
      </w:r>
    </w:p>
    <w:p w14:paraId="6AE0561D">
      <w:pPr>
        <w:tabs>
          <w:tab w:val="left" w:pos="3855"/>
        </w:tabs>
        <w:spacing w:line="360" w:lineRule="auto"/>
        <w:rPr>
          <w:rFonts w:ascii="宋体" w:hAnsi="宋体" w:cs="宋体"/>
          <w:szCs w:val="21"/>
        </w:rPr>
      </w:pPr>
      <w:r>
        <w:rPr>
          <w:rFonts w:hint="eastAsia" w:ascii="宋体" w:hAnsi="宋体" w:cs="宋体"/>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3B5480B6">
      <w:pPr>
        <w:tabs>
          <w:tab w:val="left" w:pos="3855"/>
        </w:tabs>
        <w:spacing w:line="360" w:lineRule="auto"/>
        <w:outlineLvl w:val="0"/>
        <w:rPr>
          <w:rFonts w:ascii="宋体" w:hAnsi="宋体" w:cs="宋体"/>
          <w:szCs w:val="21"/>
        </w:rPr>
      </w:pPr>
      <w:bookmarkStart w:id="2249" w:name="_Toc497456582"/>
      <w:bookmarkStart w:id="2250" w:name="_Toc480486875"/>
      <w:bookmarkStart w:id="2251" w:name="_Toc152045753"/>
      <w:bookmarkStart w:id="2252" w:name="_Toc490222637"/>
      <w:bookmarkStart w:id="2253" w:name="_Toc152042532"/>
      <w:bookmarkStart w:id="2254" w:name="_Toc342296404"/>
      <w:bookmarkStart w:id="2255" w:name="_Toc480487047"/>
      <w:bookmarkStart w:id="2256" w:name="_Toc144974724"/>
      <w:bookmarkStart w:id="2257" w:name="_Toc179632771"/>
      <w:bookmarkStart w:id="2258" w:name="_Toc338944846"/>
      <w:bookmarkStart w:id="2259" w:name="_Toc489280003"/>
      <w:bookmarkStart w:id="2260" w:name="_Toc486580192"/>
      <w:bookmarkStart w:id="2261" w:name="_Toc483668221"/>
      <w:r>
        <w:rPr>
          <w:rFonts w:hint="eastAsia" w:ascii="宋体" w:hAnsi="宋体" w:cs="宋体"/>
          <w:szCs w:val="21"/>
        </w:rPr>
        <w:t>22.违约</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14:paraId="33DA886E">
      <w:pPr>
        <w:tabs>
          <w:tab w:val="left" w:pos="3855"/>
        </w:tabs>
        <w:spacing w:line="360" w:lineRule="auto"/>
        <w:outlineLvl w:val="1"/>
        <w:rPr>
          <w:rFonts w:ascii="宋体" w:hAnsi="宋体" w:cs="宋体"/>
          <w:szCs w:val="21"/>
        </w:rPr>
      </w:pPr>
      <w:bookmarkStart w:id="2262" w:name="_Toc144974725"/>
      <w:bookmarkStart w:id="2263" w:name="_Toc489280004"/>
      <w:bookmarkStart w:id="2264" w:name="_Toc497456583"/>
      <w:bookmarkStart w:id="2265" w:name="_Toc480487048"/>
      <w:bookmarkStart w:id="2266" w:name="_Toc152042533"/>
      <w:bookmarkStart w:id="2267" w:name="_Toc480486876"/>
      <w:bookmarkStart w:id="2268" w:name="_Toc179632772"/>
      <w:bookmarkStart w:id="2269" w:name="_Toc483668222"/>
      <w:bookmarkStart w:id="2270" w:name="_Toc490222638"/>
      <w:bookmarkStart w:id="2271" w:name="_Toc152045754"/>
      <w:bookmarkStart w:id="2272" w:name="_Toc338944847"/>
      <w:bookmarkStart w:id="2273" w:name="_Toc342296405"/>
      <w:bookmarkStart w:id="2274" w:name="_Toc486580193"/>
      <w:r>
        <w:rPr>
          <w:rFonts w:hint="eastAsia" w:ascii="宋体" w:hAnsi="宋体" w:cs="宋体"/>
          <w:szCs w:val="21"/>
        </w:rPr>
        <w:t>22.1  承包人违约</w:t>
      </w:r>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14:paraId="61B0B448">
      <w:pPr>
        <w:tabs>
          <w:tab w:val="left" w:pos="3855"/>
        </w:tabs>
        <w:spacing w:line="360" w:lineRule="auto"/>
        <w:outlineLvl w:val="2"/>
        <w:rPr>
          <w:rFonts w:ascii="宋体" w:hAnsi="宋体" w:cs="宋体"/>
          <w:szCs w:val="21"/>
        </w:rPr>
      </w:pPr>
      <w:r>
        <w:rPr>
          <w:rFonts w:hint="eastAsia" w:ascii="宋体" w:hAnsi="宋体" w:cs="宋体"/>
          <w:szCs w:val="21"/>
        </w:rPr>
        <w:t>22.1.1  承包人违约的情形</w:t>
      </w:r>
    </w:p>
    <w:p w14:paraId="53012391">
      <w:pPr>
        <w:tabs>
          <w:tab w:val="left" w:pos="3855"/>
        </w:tabs>
        <w:spacing w:line="360" w:lineRule="auto"/>
        <w:rPr>
          <w:rFonts w:ascii="宋体" w:hAnsi="宋体" w:cs="宋体"/>
          <w:szCs w:val="21"/>
        </w:rPr>
      </w:pPr>
      <w:r>
        <w:rPr>
          <w:rFonts w:hint="eastAsia" w:ascii="宋体" w:hAnsi="宋体" w:cs="宋体"/>
          <w:szCs w:val="21"/>
        </w:rPr>
        <w:t>在履行合同过程中发生的下列情况属承包人违约：</w:t>
      </w:r>
    </w:p>
    <w:p w14:paraId="6DBE63B7">
      <w:pPr>
        <w:tabs>
          <w:tab w:val="left" w:pos="3855"/>
        </w:tabs>
        <w:spacing w:line="360" w:lineRule="auto"/>
        <w:rPr>
          <w:rFonts w:ascii="宋体" w:hAnsi="宋体" w:cs="宋体"/>
          <w:szCs w:val="21"/>
        </w:rPr>
      </w:pPr>
      <w:r>
        <w:rPr>
          <w:rFonts w:hint="eastAsia" w:ascii="宋体" w:hAnsi="宋体" w:cs="宋体"/>
          <w:szCs w:val="21"/>
        </w:rPr>
        <w:t>（1）承包人违反第1.8款或第4.3款的约定，私自将合同的全部或部分权利转让给其他人，或私自将合同的全部或部分义务转移给其他人；</w:t>
      </w:r>
    </w:p>
    <w:p w14:paraId="3C044EDA">
      <w:pPr>
        <w:tabs>
          <w:tab w:val="left" w:pos="3855"/>
        </w:tabs>
        <w:spacing w:line="360" w:lineRule="auto"/>
        <w:rPr>
          <w:rFonts w:ascii="宋体" w:hAnsi="宋体" w:cs="宋体"/>
          <w:szCs w:val="21"/>
        </w:rPr>
      </w:pPr>
      <w:r>
        <w:rPr>
          <w:rFonts w:hint="eastAsia" w:ascii="宋体" w:hAnsi="宋体" w:cs="宋体"/>
          <w:szCs w:val="21"/>
        </w:rPr>
        <w:t>（2）承包人违反第5.3款或第6.4款的约定，未经监理人批准，私自将已按合同约定进入施工场地的施工设备、临时设施或材料撤离施工场地；</w:t>
      </w:r>
    </w:p>
    <w:p w14:paraId="0C51E647">
      <w:pPr>
        <w:tabs>
          <w:tab w:val="left" w:pos="3855"/>
        </w:tabs>
        <w:spacing w:line="360" w:lineRule="auto"/>
        <w:rPr>
          <w:rFonts w:ascii="宋体" w:hAnsi="宋体" w:cs="宋体"/>
          <w:szCs w:val="21"/>
        </w:rPr>
      </w:pPr>
      <w:r>
        <w:rPr>
          <w:rFonts w:hint="eastAsia" w:ascii="宋体" w:hAnsi="宋体" w:cs="宋体"/>
          <w:szCs w:val="21"/>
        </w:rPr>
        <w:t>（3）承包人违反第5.4款的约定使用了不合格材料或工程设备，工程质量达不到标准要求，又拒绝清除不合格工程；</w:t>
      </w:r>
    </w:p>
    <w:p w14:paraId="3CFBE68B">
      <w:pPr>
        <w:tabs>
          <w:tab w:val="left" w:pos="3855"/>
        </w:tabs>
        <w:spacing w:line="360" w:lineRule="auto"/>
        <w:rPr>
          <w:rFonts w:ascii="宋体" w:hAnsi="宋体" w:cs="宋体"/>
          <w:szCs w:val="21"/>
        </w:rPr>
      </w:pPr>
      <w:r>
        <w:rPr>
          <w:rFonts w:hint="eastAsia" w:ascii="宋体" w:hAnsi="宋体" w:cs="宋体"/>
          <w:szCs w:val="21"/>
        </w:rPr>
        <w:t>（4）承包人未能按合同进度计划及时完成合同约定的工作，已造成或预期造成工期延误；</w:t>
      </w:r>
    </w:p>
    <w:p w14:paraId="26C8378B">
      <w:pPr>
        <w:tabs>
          <w:tab w:val="left" w:pos="3855"/>
        </w:tabs>
        <w:spacing w:line="360" w:lineRule="auto"/>
        <w:rPr>
          <w:rFonts w:ascii="宋体" w:hAnsi="宋体" w:cs="宋体"/>
          <w:szCs w:val="21"/>
        </w:rPr>
      </w:pPr>
      <w:r>
        <w:rPr>
          <w:rFonts w:hint="eastAsia" w:ascii="宋体" w:hAnsi="宋体" w:cs="宋体"/>
          <w:szCs w:val="21"/>
        </w:rPr>
        <w:t>（5）承包人在缺陷责任期内，未能对工程接收证书所列的缺陷清单的内容或缺陷责任期内发生的缺陷进行修复，而又拒绝按监理人指示再进行修补；</w:t>
      </w:r>
    </w:p>
    <w:p w14:paraId="6A078930">
      <w:pPr>
        <w:tabs>
          <w:tab w:val="left" w:pos="3855"/>
        </w:tabs>
        <w:spacing w:line="360" w:lineRule="auto"/>
        <w:rPr>
          <w:rFonts w:ascii="宋体" w:hAnsi="宋体" w:cs="宋体"/>
          <w:szCs w:val="21"/>
        </w:rPr>
      </w:pPr>
      <w:r>
        <w:rPr>
          <w:rFonts w:hint="eastAsia" w:ascii="宋体" w:hAnsi="宋体" w:cs="宋体"/>
          <w:szCs w:val="21"/>
        </w:rPr>
        <w:t>（6）承包人无法继续履行或明确表示不履行或实质上已停止履行合同；</w:t>
      </w:r>
    </w:p>
    <w:p w14:paraId="3E26F165">
      <w:pPr>
        <w:tabs>
          <w:tab w:val="left" w:pos="3855"/>
        </w:tabs>
        <w:spacing w:line="360" w:lineRule="auto"/>
        <w:rPr>
          <w:rFonts w:ascii="宋体" w:hAnsi="宋体" w:cs="宋体"/>
          <w:szCs w:val="21"/>
        </w:rPr>
      </w:pPr>
      <w:r>
        <w:rPr>
          <w:rFonts w:hint="eastAsia" w:ascii="宋体" w:hAnsi="宋体" w:cs="宋体"/>
          <w:szCs w:val="21"/>
        </w:rPr>
        <w:t>（7）承包人不按合同约定履行义务的其他情况。</w:t>
      </w:r>
    </w:p>
    <w:p w14:paraId="77078C4D">
      <w:pPr>
        <w:tabs>
          <w:tab w:val="left" w:pos="3855"/>
        </w:tabs>
        <w:spacing w:line="360" w:lineRule="auto"/>
        <w:outlineLvl w:val="2"/>
        <w:rPr>
          <w:rFonts w:ascii="宋体" w:hAnsi="宋体" w:cs="宋体"/>
          <w:szCs w:val="21"/>
        </w:rPr>
      </w:pPr>
      <w:r>
        <w:rPr>
          <w:rFonts w:hint="eastAsia" w:ascii="宋体" w:hAnsi="宋体" w:cs="宋体"/>
          <w:szCs w:val="21"/>
        </w:rPr>
        <w:t>22.1.2  对承包人违约的处理</w:t>
      </w:r>
    </w:p>
    <w:p w14:paraId="779E534A">
      <w:pPr>
        <w:tabs>
          <w:tab w:val="left" w:pos="3855"/>
        </w:tabs>
        <w:spacing w:line="360" w:lineRule="auto"/>
        <w:rPr>
          <w:rFonts w:ascii="宋体" w:hAnsi="宋体" w:cs="宋体"/>
          <w:szCs w:val="21"/>
        </w:rPr>
      </w:pPr>
      <w:r>
        <w:rPr>
          <w:rFonts w:hint="eastAsia" w:ascii="宋体" w:hAnsi="宋体" w:cs="宋体"/>
          <w:szCs w:val="21"/>
        </w:rPr>
        <w:t>（1）承包人发生第22.1.1约定的违约情况时，发包人可通知承包人立即解除合同，同时承包人需承担合同总金额20%的违约金。违约金不足以弥补实际损失的，以实际损失为准。</w:t>
      </w:r>
    </w:p>
    <w:p w14:paraId="0FEE3EB0">
      <w:pPr>
        <w:tabs>
          <w:tab w:val="left" w:pos="3855"/>
        </w:tabs>
        <w:spacing w:line="360" w:lineRule="auto"/>
        <w:rPr>
          <w:rFonts w:ascii="宋体" w:hAnsi="宋体" w:cs="宋体"/>
          <w:szCs w:val="21"/>
        </w:rPr>
      </w:pPr>
      <w:r>
        <w:rPr>
          <w:rFonts w:hint="eastAsia" w:ascii="宋体" w:hAnsi="宋体" w:cs="宋体"/>
          <w:szCs w:val="21"/>
        </w:rPr>
        <w:t>（2）承包人发生除第22.1.1约定以外的其他违约情况时，监理人可向承包人发出整改通知，要求其在指定的期限内改正。承包人应承担其违约所引起的费用增加和（或）工期延误。</w:t>
      </w:r>
    </w:p>
    <w:p w14:paraId="41E7A2B4">
      <w:pPr>
        <w:tabs>
          <w:tab w:val="left" w:pos="3855"/>
        </w:tabs>
        <w:spacing w:line="360" w:lineRule="auto"/>
        <w:rPr>
          <w:rFonts w:ascii="宋体" w:hAnsi="宋体" w:cs="宋体"/>
          <w:szCs w:val="21"/>
        </w:rPr>
      </w:pPr>
      <w:r>
        <w:rPr>
          <w:rFonts w:hint="eastAsia" w:ascii="宋体" w:hAnsi="宋体" w:cs="宋体"/>
          <w:szCs w:val="21"/>
        </w:rPr>
        <w:t>（3）经检查证明承包人已采取了有效措施纠正违约行为，具备复工条件的，可由监理人签发复工通知复工。</w:t>
      </w:r>
    </w:p>
    <w:p w14:paraId="6E59B924">
      <w:pPr>
        <w:tabs>
          <w:tab w:val="left" w:pos="3855"/>
        </w:tabs>
        <w:spacing w:line="360" w:lineRule="auto"/>
        <w:outlineLvl w:val="2"/>
        <w:rPr>
          <w:rFonts w:ascii="宋体" w:hAnsi="宋体" w:cs="宋体"/>
          <w:szCs w:val="21"/>
        </w:rPr>
      </w:pPr>
      <w:r>
        <w:rPr>
          <w:rFonts w:hint="eastAsia" w:ascii="宋体" w:hAnsi="宋体" w:cs="宋体"/>
          <w:szCs w:val="21"/>
        </w:rPr>
        <w:t>22.1.3  承包人违约解除合同</w:t>
      </w:r>
    </w:p>
    <w:p w14:paraId="03208D8C">
      <w:pPr>
        <w:tabs>
          <w:tab w:val="left" w:pos="3855"/>
        </w:tabs>
        <w:spacing w:line="360" w:lineRule="auto"/>
        <w:rPr>
          <w:rFonts w:ascii="宋体" w:hAnsi="宋体" w:cs="宋体"/>
          <w:szCs w:val="21"/>
        </w:rPr>
      </w:pPr>
      <w:r>
        <w:rPr>
          <w:rFonts w:hint="eastAsia" w:ascii="宋体" w:hAnsi="宋体" w:cs="宋体"/>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12E2E3E4">
      <w:pPr>
        <w:tabs>
          <w:tab w:val="left" w:pos="3855"/>
        </w:tabs>
        <w:spacing w:line="360" w:lineRule="auto"/>
        <w:outlineLvl w:val="2"/>
        <w:rPr>
          <w:rFonts w:ascii="宋体" w:hAnsi="宋体" w:cs="宋体"/>
          <w:szCs w:val="21"/>
        </w:rPr>
      </w:pPr>
      <w:r>
        <w:rPr>
          <w:rFonts w:hint="eastAsia" w:ascii="宋体" w:hAnsi="宋体" w:cs="宋体"/>
          <w:szCs w:val="21"/>
        </w:rPr>
        <w:t>22.1.4  合同解除后的估价、付款和结清</w:t>
      </w:r>
    </w:p>
    <w:p w14:paraId="254D65DE">
      <w:pPr>
        <w:tabs>
          <w:tab w:val="left" w:pos="3855"/>
        </w:tabs>
        <w:spacing w:line="360" w:lineRule="auto"/>
        <w:rPr>
          <w:rFonts w:ascii="宋体" w:hAnsi="宋体" w:cs="宋体"/>
          <w:szCs w:val="21"/>
        </w:rPr>
      </w:pPr>
      <w:r>
        <w:rPr>
          <w:rFonts w:hint="eastAsia" w:ascii="宋体" w:hAnsi="宋体" w:cs="宋体"/>
          <w:szCs w:val="21"/>
        </w:rPr>
        <w:t xml:space="preserve">（1）合同解除后，监理人按第3.5款商定或确定承包人实际完成工作的价值，以及承包人已提供的材料、施工设备、工程设备和临时工程等的价值。 </w:t>
      </w:r>
    </w:p>
    <w:p w14:paraId="2549BD6F">
      <w:pPr>
        <w:tabs>
          <w:tab w:val="left" w:pos="3855"/>
        </w:tabs>
        <w:spacing w:line="360" w:lineRule="auto"/>
        <w:rPr>
          <w:rFonts w:ascii="宋体" w:hAnsi="宋体" w:cs="宋体"/>
          <w:szCs w:val="21"/>
        </w:rPr>
      </w:pPr>
      <w:r>
        <w:rPr>
          <w:rFonts w:hint="eastAsia" w:ascii="宋体" w:hAnsi="宋体" w:cs="宋体"/>
          <w:szCs w:val="21"/>
        </w:rPr>
        <w:t xml:space="preserve">（2）合同解除后，发包人应暂停对承包人的一切付款，查清各项付款和已扣款金额，包括承包人应支付的违约金。 </w:t>
      </w:r>
    </w:p>
    <w:p w14:paraId="18F4FF41">
      <w:pPr>
        <w:tabs>
          <w:tab w:val="left" w:pos="3855"/>
        </w:tabs>
        <w:spacing w:line="360" w:lineRule="auto"/>
        <w:rPr>
          <w:rFonts w:ascii="宋体" w:hAnsi="宋体" w:cs="宋体"/>
          <w:szCs w:val="21"/>
        </w:rPr>
      </w:pPr>
      <w:r>
        <w:rPr>
          <w:rFonts w:hint="eastAsia" w:ascii="宋体" w:hAnsi="宋体" w:cs="宋体"/>
          <w:szCs w:val="21"/>
        </w:rPr>
        <w:t>（3）合同解除后，发包人应按第23.4款的约定向承包人索赔由于解除合同给发包人造成的损失。</w:t>
      </w:r>
    </w:p>
    <w:p w14:paraId="09F10F5F">
      <w:pPr>
        <w:tabs>
          <w:tab w:val="left" w:pos="3855"/>
        </w:tabs>
        <w:spacing w:line="360" w:lineRule="auto"/>
        <w:rPr>
          <w:rFonts w:ascii="宋体" w:hAnsi="宋体" w:cs="宋体"/>
          <w:szCs w:val="21"/>
        </w:rPr>
      </w:pPr>
      <w:r>
        <w:rPr>
          <w:rFonts w:hint="eastAsia" w:ascii="宋体" w:hAnsi="宋体" w:cs="宋体"/>
          <w:szCs w:val="21"/>
        </w:rPr>
        <w:t>（4）合同双方确认上述往来款项后，出具最终结清付款证书，结清全部合同款项。</w:t>
      </w:r>
    </w:p>
    <w:p w14:paraId="7FE7702C">
      <w:pPr>
        <w:tabs>
          <w:tab w:val="left" w:pos="3855"/>
        </w:tabs>
        <w:spacing w:line="360" w:lineRule="auto"/>
        <w:rPr>
          <w:rFonts w:ascii="宋体" w:hAnsi="宋体" w:cs="宋体"/>
          <w:szCs w:val="21"/>
        </w:rPr>
      </w:pPr>
      <w:r>
        <w:rPr>
          <w:rFonts w:hint="eastAsia" w:ascii="宋体" w:hAnsi="宋体" w:cs="宋体"/>
          <w:szCs w:val="21"/>
        </w:rPr>
        <w:t>（5）发包人和承包人未能就解除合同后的结清达成一致而形成争议的，按第24条的约定办理。</w:t>
      </w:r>
    </w:p>
    <w:p w14:paraId="6CC73ED1">
      <w:pPr>
        <w:tabs>
          <w:tab w:val="left" w:pos="3855"/>
        </w:tabs>
        <w:spacing w:line="360" w:lineRule="auto"/>
        <w:outlineLvl w:val="2"/>
        <w:rPr>
          <w:rFonts w:ascii="宋体" w:hAnsi="宋体" w:cs="宋体"/>
          <w:szCs w:val="21"/>
        </w:rPr>
      </w:pPr>
      <w:r>
        <w:rPr>
          <w:rFonts w:hint="eastAsia" w:ascii="宋体" w:hAnsi="宋体" w:cs="宋体"/>
          <w:szCs w:val="21"/>
        </w:rPr>
        <w:t>22.1.5  协议利益的转让</w:t>
      </w:r>
    </w:p>
    <w:p w14:paraId="32C1DB6D">
      <w:pPr>
        <w:tabs>
          <w:tab w:val="left" w:pos="3855"/>
        </w:tabs>
        <w:spacing w:line="360" w:lineRule="auto"/>
        <w:rPr>
          <w:rFonts w:ascii="宋体" w:hAnsi="宋体" w:cs="宋体"/>
          <w:szCs w:val="21"/>
        </w:rPr>
      </w:pPr>
      <w:r>
        <w:rPr>
          <w:rFonts w:hint="eastAsia" w:ascii="宋体" w:hAnsi="宋体" w:cs="宋体"/>
          <w:szCs w:val="21"/>
        </w:rPr>
        <w:t xml:space="preserve">因承包人违约解除合同的，发包人有权要求承包人将其为实施合同而签订的材料和设备的订货协议或任何服务协议利益转让给发包人，并在解除合同后的14天内，依法办理转让手续。 </w:t>
      </w:r>
    </w:p>
    <w:p w14:paraId="520BB60B">
      <w:pPr>
        <w:tabs>
          <w:tab w:val="left" w:pos="3855"/>
        </w:tabs>
        <w:spacing w:line="360" w:lineRule="auto"/>
        <w:outlineLvl w:val="2"/>
        <w:rPr>
          <w:rFonts w:ascii="宋体" w:hAnsi="宋体" w:cs="宋体"/>
          <w:szCs w:val="21"/>
        </w:rPr>
      </w:pPr>
      <w:r>
        <w:rPr>
          <w:rFonts w:hint="eastAsia" w:ascii="宋体" w:hAnsi="宋体" w:cs="宋体"/>
          <w:szCs w:val="21"/>
        </w:rPr>
        <w:t>22.1.6  紧急情况下无能力或不愿进行抢救</w:t>
      </w:r>
    </w:p>
    <w:p w14:paraId="2653AED9">
      <w:pPr>
        <w:tabs>
          <w:tab w:val="left" w:pos="3855"/>
        </w:tabs>
        <w:spacing w:line="360" w:lineRule="auto"/>
        <w:rPr>
          <w:rFonts w:ascii="宋体" w:hAnsi="宋体" w:cs="宋体"/>
          <w:szCs w:val="21"/>
        </w:rPr>
      </w:pPr>
      <w:r>
        <w:rPr>
          <w:rFonts w:hint="eastAsia" w:ascii="宋体" w:hAnsi="宋体" w:cs="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3676F0E">
      <w:pPr>
        <w:tabs>
          <w:tab w:val="left" w:pos="3855"/>
        </w:tabs>
        <w:spacing w:line="360" w:lineRule="auto"/>
        <w:outlineLvl w:val="1"/>
        <w:rPr>
          <w:rFonts w:ascii="宋体" w:hAnsi="宋体" w:cs="宋体"/>
          <w:szCs w:val="21"/>
        </w:rPr>
      </w:pPr>
      <w:bookmarkStart w:id="2275" w:name="_Toc342296406"/>
      <w:bookmarkStart w:id="2276" w:name="_Toc480487049"/>
      <w:bookmarkStart w:id="2277" w:name="_Toc480486877"/>
      <w:bookmarkStart w:id="2278" w:name="_Toc489280005"/>
      <w:bookmarkStart w:id="2279" w:name="_Toc152042534"/>
      <w:bookmarkStart w:id="2280" w:name="_Toc179632773"/>
      <w:bookmarkStart w:id="2281" w:name="_Toc497456584"/>
      <w:bookmarkStart w:id="2282" w:name="_Toc144974726"/>
      <w:bookmarkStart w:id="2283" w:name="_Toc338944848"/>
      <w:bookmarkStart w:id="2284" w:name="_Toc490222639"/>
      <w:bookmarkStart w:id="2285" w:name="_Toc486580194"/>
      <w:bookmarkStart w:id="2286" w:name="_Toc152045755"/>
      <w:bookmarkStart w:id="2287" w:name="_Toc483668223"/>
      <w:r>
        <w:rPr>
          <w:rFonts w:hint="eastAsia" w:ascii="宋体" w:hAnsi="宋体" w:cs="宋体"/>
          <w:szCs w:val="21"/>
        </w:rPr>
        <w:t>22.2  发包人违约</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14:paraId="621C5D13">
      <w:pPr>
        <w:tabs>
          <w:tab w:val="left" w:pos="3855"/>
        </w:tabs>
        <w:spacing w:line="360" w:lineRule="auto"/>
        <w:outlineLvl w:val="2"/>
        <w:rPr>
          <w:rFonts w:ascii="宋体" w:hAnsi="宋体" w:cs="宋体"/>
          <w:szCs w:val="21"/>
        </w:rPr>
      </w:pPr>
      <w:r>
        <w:rPr>
          <w:rFonts w:hint="eastAsia" w:ascii="宋体" w:hAnsi="宋体" w:cs="宋体"/>
          <w:szCs w:val="21"/>
        </w:rPr>
        <w:t>22.2.1  发包人违约的情形</w:t>
      </w:r>
    </w:p>
    <w:p w14:paraId="752B9ECE">
      <w:pPr>
        <w:tabs>
          <w:tab w:val="left" w:pos="3855"/>
        </w:tabs>
        <w:spacing w:line="360" w:lineRule="auto"/>
        <w:rPr>
          <w:rFonts w:ascii="宋体" w:hAnsi="宋体" w:cs="宋体"/>
          <w:szCs w:val="21"/>
        </w:rPr>
      </w:pPr>
      <w:r>
        <w:rPr>
          <w:rFonts w:hint="eastAsia" w:ascii="宋体" w:hAnsi="宋体" w:cs="宋体"/>
          <w:szCs w:val="21"/>
        </w:rPr>
        <w:t>在履行合同过程中发生的下列情形，属发包人违约：</w:t>
      </w:r>
    </w:p>
    <w:p w14:paraId="25783D2C">
      <w:pPr>
        <w:tabs>
          <w:tab w:val="left" w:pos="3855"/>
        </w:tabs>
        <w:spacing w:line="360" w:lineRule="auto"/>
        <w:rPr>
          <w:rFonts w:ascii="宋体" w:hAnsi="宋体" w:cs="宋体"/>
          <w:szCs w:val="21"/>
        </w:rPr>
      </w:pPr>
      <w:r>
        <w:rPr>
          <w:rFonts w:hint="eastAsia" w:ascii="宋体" w:hAnsi="宋体" w:cs="宋体"/>
          <w:szCs w:val="21"/>
        </w:rPr>
        <w:t>（1）发包人未能按合同约定支付预付款或合同价款，或拖延、拒绝批准付款申请和支付凭证，导致付款延误的；</w:t>
      </w:r>
    </w:p>
    <w:p w14:paraId="10CF9009">
      <w:pPr>
        <w:tabs>
          <w:tab w:val="left" w:pos="3855"/>
        </w:tabs>
        <w:spacing w:line="360" w:lineRule="auto"/>
        <w:rPr>
          <w:rFonts w:ascii="宋体" w:hAnsi="宋体" w:cs="宋体"/>
          <w:szCs w:val="21"/>
        </w:rPr>
      </w:pPr>
      <w:r>
        <w:rPr>
          <w:rFonts w:hint="eastAsia" w:ascii="宋体" w:hAnsi="宋体" w:cs="宋体"/>
          <w:szCs w:val="21"/>
        </w:rPr>
        <w:t>（2）发包人原因造成停工的；</w:t>
      </w:r>
    </w:p>
    <w:p w14:paraId="05D574F3">
      <w:pPr>
        <w:tabs>
          <w:tab w:val="left" w:pos="3855"/>
        </w:tabs>
        <w:spacing w:line="360" w:lineRule="auto"/>
        <w:rPr>
          <w:rFonts w:ascii="宋体" w:hAnsi="宋体" w:cs="宋体"/>
          <w:szCs w:val="21"/>
        </w:rPr>
      </w:pPr>
      <w:r>
        <w:rPr>
          <w:rFonts w:hint="eastAsia" w:ascii="宋体" w:hAnsi="宋体" w:cs="宋体"/>
          <w:szCs w:val="21"/>
        </w:rPr>
        <w:t>（5）发包人不履行合同约定其他义务的。</w:t>
      </w:r>
    </w:p>
    <w:p w14:paraId="68F45349">
      <w:pPr>
        <w:tabs>
          <w:tab w:val="left" w:pos="3855"/>
        </w:tabs>
        <w:spacing w:line="360" w:lineRule="auto"/>
        <w:outlineLvl w:val="2"/>
        <w:rPr>
          <w:rFonts w:ascii="宋体" w:hAnsi="宋体" w:cs="宋体"/>
          <w:szCs w:val="21"/>
        </w:rPr>
      </w:pPr>
      <w:r>
        <w:rPr>
          <w:rFonts w:hint="eastAsia" w:ascii="宋体" w:hAnsi="宋体" w:cs="宋体"/>
          <w:szCs w:val="21"/>
        </w:rPr>
        <w:t>22.2.2  承包人有权暂停施工</w:t>
      </w:r>
    </w:p>
    <w:p w14:paraId="002BFC87">
      <w:pPr>
        <w:tabs>
          <w:tab w:val="left" w:pos="3855"/>
        </w:tabs>
        <w:spacing w:line="360" w:lineRule="auto"/>
        <w:rPr>
          <w:rFonts w:ascii="宋体" w:hAnsi="宋体" w:cs="宋体"/>
          <w:szCs w:val="21"/>
        </w:rPr>
      </w:pPr>
      <w:r>
        <w:rPr>
          <w:rFonts w:hint="eastAsia" w:ascii="宋体" w:hAnsi="宋体" w:cs="宋体"/>
          <w:szCs w:val="21"/>
        </w:rPr>
        <w:t>发包人发生第22.2.1的违约情况时，承包人可向发包人发出通知，要求发包人采取有效措施纠正违约行为。。</w:t>
      </w:r>
    </w:p>
    <w:p w14:paraId="328374D3">
      <w:pPr>
        <w:tabs>
          <w:tab w:val="left" w:pos="3855"/>
        </w:tabs>
        <w:spacing w:line="360" w:lineRule="auto"/>
        <w:outlineLvl w:val="1"/>
        <w:rPr>
          <w:rFonts w:ascii="宋体" w:hAnsi="宋体" w:cs="宋体"/>
          <w:szCs w:val="21"/>
        </w:rPr>
      </w:pPr>
      <w:bookmarkStart w:id="2288" w:name="_Toc486580195"/>
      <w:bookmarkStart w:id="2289" w:name="_Toc338944849"/>
      <w:bookmarkStart w:id="2290" w:name="_Toc490222640"/>
      <w:bookmarkStart w:id="2291" w:name="_Toc152045756"/>
      <w:bookmarkStart w:id="2292" w:name="_Toc342296407"/>
      <w:bookmarkStart w:id="2293" w:name="_Toc152042535"/>
      <w:bookmarkStart w:id="2294" w:name="_Toc489280006"/>
      <w:bookmarkStart w:id="2295" w:name="_Toc179632774"/>
      <w:bookmarkStart w:id="2296" w:name="_Toc483668224"/>
      <w:bookmarkStart w:id="2297" w:name="_Toc480486878"/>
      <w:bookmarkStart w:id="2298" w:name="_Toc497456585"/>
      <w:bookmarkStart w:id="2299" w:name="_Toc480487050"/>
      <w:r>
        <w:rPr>
          <w:rFonts w:hint="eastAsia" w:ascii="宋体" w:hAnsi="宋体" w:cs="宋体"/>
          <w:szCs w:val="21"/>
        </w:rPr>
        <w:t>22.3  第三人造成的违约</w:t>
      </w:r>
      <w:bookmarkEnd w:id="2288"/>
      <w:bookmarkEnd w:id="2289"/>
      <w:bookmarkEnd w:id="2290"/>
      <w:bookmarkEnd w:id="2291"/>
      <w:bookmarkEnd w:id="2292"/>
      <w:bookmarkEnd w:id="2293"/>
      <w:bookmarkEnd w:id="2294"/>
      <w:bookmarkEnd w:id="2295"/>
      <w:bookmarkEnd w:id="2296"/>
      <w:bookmarkEnd w:id="2297"/>
      <w:bookmarkEnd w:id="2298"/>
      <w:bookmarkEnd w:id="2299"/>
    </w:p>
    <w:p w14:paraId="78259BD1">
      <w:pPr>
        <w:tabs>
          <w:tab w:val="left" w:pos="3855"/>
        </w:tabs>
        <w:spacing w:line="360" w:lineRule="auto"/>
        <w:rPr>
          <w:rFonts w:ascii="宋体" w:hAnsi="宋体" w:cs="宋体"/>
          <w:szCs w:val="21"/>
        </w:rPr>
      </w:pPr>
      <w:r>
        <w:rPr>
          <w:rFonts w:hint="eastAsia" w:ascii="宋体" w:hAnsi="宋体" w:cs="宋体"/>
          <w:szCs w:val="21"/>
        </w:rPr>
        <w:t>在履行合同过程中，一方当事人因第三人的原因造成违约的，应当向对方当事人承担违约责任。一方当事人和第三人之间的纠纷，依照法律规定或者按照约定解决。</w:t>
      </w:r>
    </w:p>
    <w:p w14:paraId="55D78EFF">
      <w:pPr>
        <w:tabs>
          <w:tab w:val="left" w:pos="3855"/>
        </w:tabs>
        <w:spacing w:line="360" w:lineRule="auto"/>
        <w:outlineLvl w:val="0"/>
        <w:rPr>
          <w:rFonts w:ascii="宋体" w:hAnsi="宋体" w:cs="宋体"/>
          <w:szCs w:val="21"/>
        </w:rPr>
      </w:pPr>
      <w:bookmarkStart w:id="2300" w:name="_Toc152045757"/>
      <w:bookmarkStart w:id="2301" w:name="_Toc497456586"/>
      <w:bookmarkStart w:id="2302" w:name="_Toc480486879"/>
      <w:bookmarkStart w:id="2303" w:name="_Toc490222641"/>
      <w:bookmarkStart w:id="2304" w:name="_Toc144974727"/>
      <w:bookmarkStart w:id="2305" w:name="_Toc486580196"/>
      <w:bookmarkStart w:id="2306" w:name="_Toc338944850"/>
      <w:bookmarkStart w:id="2307" w:name="_Toc480487051"/>
      <w:bookmarkStart w:id="2308" w:name="_Toc179632775"/>
      <w:bookmarkStart w:id="2309" w:name="_Toc483668225"/>
      <w:bookmarkStart w:id="2310" w:name="_Toc342296408"/>
      <w:bookmarkStart w:id="2311" w:name="_Toc152042536"/>
      <w:bookmarkStart w:id="2312" w:name="_Toc489280007"/>
      <w:r>
        <w:rPr>
          <w:rFonts w:hint="eastAsia" w:ascii="宋体" w:hAnsi="宋体" w:cs="宋体"/>
          <w:szCs w:val="21"/>
        </w:rPr>
        <w:t>23.索赔</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14:paraId="4995A008">
      <w:pPr>
        <w:tabs>
          <w:tab w:val="left" w:pos="3855"/>
        </w:tabs>
        <w:spacing w:line="360" w:lineRule="auto"/>
        <w:outlineLvl w:val="1"/>
        <w:rPr>
          <w:rFonts w:ascii="宋体" w:hAnsi="宋体" w:cs="宋体"/>
          <w:szCs w:val="21"/>
        </w:rPr>
      </w:pPr>
      <w:bookmarkStart w:id="2313" w:name="_Toc480486880"/>
      <w:bookmarkStart w:id="2314" w:name="_Toc489280008"/>
      <w:bookmarkStart w:id="2315" w:name="_Toc152045758"/>
      <w:bookmarkStart w:id="2316" w:name="_Toc486580197"/>
      <w:bookmarkStart w:id="2317" w:name="_Toc144974728"/>
      <w:bookmarkStart w:id="2318" w:name="_Toc490222642"/>
      <w:bookmarkStart w:id="2319" w:name="_Toc152042537"/>
      <w:bookmarkStart w:id="2320" w:name="_Toc480487052"/>
      <w:bookmarkStart w:id="2321" w:name="_Toc338944851"/>
      <w:bookmarkStart w:id="2322" w:name="_Toc342296409"/>
      <w:bookmarkStart w:id="2323" w:name="_Toc483668226"/>
      <w:bookmarkStart w:id="2324" w:name="_Toc497456587"/>
      <w:bookmarkStart w:id="2325" w:name="_Toc179632776"/>
      <w:r>
        <w:rPr>
          <w:rFonts w:hint="eastAsia" w:ascii="宋体" w:hAnsi="宋体" w:cs="宋体"/>
          <w:szCs w:val="21"/>
        </w:rPr>
        <w:t>23.1  承包人索赔的提出</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p>
    <w:p w14:paraId="0C29331E">
      <w:pPr>
        <w:tabs>
          <w:tab w:val="left" w:pos="3855"/>
        </w:tabs>
        <w:spacing w:line="360" w:lineRule="auto"/>
        <w:rPr>
          <w:rFonts w:ascii="宋体" w:hAnsi="宋体" w:cs="宋体"/>
          <w:szCs w:val="21"/>
        </w:rPr>
      </w:pPr>
      <w:r>
        <w:rPr>
          <w:rFonts w:hint="eastAsia" w:ascii="宋体" w:hAnsi="宋体" w:cs="宋体"/>
          <w:szCs w:val="21"/>
        </w:rPr>
        <w:t>根据合同约定，承包人认为有权得到追加付款和（或）延长工期的，应按以下程序向发包人提出索赔：</w:t>
      </w:r>
    </w:p>
    <w:p w14:paraId="239AC211">
      <w:pPr>
        <w:tabs>
          <w:tab w:val="left" w:pos="3855"/>
        </w:tabs>
        <w:spacing w:line="360" w:lineRule="auto"/>
        <w:rPr>
          <w:rFonts w:ascii="宋体" w:hAnsi="宋体" w:cs="宋体"/>
          <w:szCs w:val="21"/>
        </w:rPr>
      </w:pPr>
      <w:r>
        <w:rPr>
          <w:rFonts w:hint="eastAsia" w:ascii="宋体" w:hAnsi="宋体" w:cs="宋体"/>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313DA8D">
      <w:pPr>
        <w:tabs>
          <w:tab w:val="left" w:pos="3855"/>
        </w:tabs>
        <w:spacing w:line="360" w:lineRule="auto"/>
        <w:rPr>
          <w:rFonts w:ascii="宋体" w:hAnsi="宋体" w:cs="宋体"/>
          <w:szCs w:val="21"/>
        </w:rPr>
      </w:pPr>
      <w:r>
        <w:rPr>
          <w:rFonts w:hint="eastAsia" w:ascii="宋体" w:hAnsi="宋体" w:cs="宋体"/>
          <w:szCs w:val="21"/>
        </w:rPr>
        <w:t>（2）承包人应在发出索赔意向通知书后28天内，向监理人正式递交索赔通知书。索赔通知书应详细说明索赔理由以及要求追加的付款金额和（或）延长的工期，并附必要的记录和证明材料；</w:t>
      </w:r>
    </w:p>
    <w:p w14:paraId="2BB3F491">
      <w:pPr>
        <w:tabs>
          <w:tab w:val="left" w:pos="3855"/>
        </w:tabs>
        <w:spacing w:line="360" w:lineRule="auto"/>
        <w:rPr>
          <w:rFonts w:ascii="宋体" w:hAnsi="宋体" w:cs="宋体"/>
          <w:szCs w:val="21"/>
        </w:rPr>
      </w:pPr>
      <w:r>
        <w:rPr>
          <w:rFonts w:hint="eastAsia" w:ascii="宋体" w:hAnsi="宋体" w:cs="宋体"/>
          <w:szCs w:val="21"/>
        </w:rPr>
        <w:t>（3）索赔事件具有连续影响的，承包人应按合理时间间隔继续递交延续索赔通知，说明连续影响的实际情况和记录，列出累计的追加付款金额和（或）工期延长天数；</w:t>
      </w:r>
    </w:p>
    <w:p w14:paraId="31BA3200">
      <w:pPr>
        <w:tabs>
          <w:tab w:val="left" w:pos="3855"/>
        </w:tabs>
        <w:spacing w:line="360" w:lineRule="auto"/>
        <w:rPr>
          <w:rFonts w:ascii="宋体" w:hAnsi="宋体" w:cs="宋体"/>
          <w:szCs w:val="21"/>
        </w:rPr>
      </w:pPr>
      <w:r>
        <w:rPr>
          <w:rFonts w:hint="eastAsia" w:ascii="宋体" w:hAnsi="宋体" w:cs="宋体"/>
          <w:szCs w:val="21"/>
        </w:rPr>
        <w:t>（4）在索赔事件影响结束后的28天内，承包人应向监理人递交最终索赔通知书，说明最终要求索赔的追加付款金额和延长的工期，并附必要的记录和证明材料。</w:t>
      </w:r>
    </w:p>
    <w:p w14:paraId="4F1CF3E1">
      <w:pPr>
        <w:tabs>
          <w:tab w:val="left" w:pos="3855"/>
        </w:tabs>
        <w:spacing w:line="360" w:lineRule="auto"/>
        <w:outlineLvl w:val="1"/>
        <w:rPr>
          <w:rFonts w:ascii="宋体" w:hAnsi="宋体" w:cs="宋体"/>
          <w:szCs w:val="21"/>
        </w:rPr>
      </w:pPr>
      <w:bookmarkStart w:id="2326" w:name="_Toc486580198"/>
      <w:bookmarkStart w:id="2327" w:name="_Toc342296410"/>
      <w:bookmarkStart w:id="2328" w:name="_Toc489280009"/>
      <w:bookmarkStart w:id="2329" w:name="_Toc338944852"/>
      <w:bookmarkStart w:id="2330" w:name="_Toc497456588"/>
      <w:bookmarkStart w:id="2331" w:name="_Toc490222643"/>
      <w:bookmarkStart w:id="2332" w:name="_Toc179632777"/>
      <w:bookmarkStart w:id="2333" w:name="_Toc483668227"/>
      <w:bookmarkStart w:id="2334" w:name="_Toc152045759"/>
      <w:bookmarkStart w:id="2335" w:name="_Toc152042538"/>
      <w:bookmarkStart w:id="2336" w:name="_Toc480487053"/>
      <w:bookmarkStart w:id="2337" w:name="_Toc480486881"/>
      <w:bookmarkStart w:id="2338" w:name="_Toc144974729"/>
      <w:r>
        <w:rPr>
          <w:rFonts w:hint="eastAsia" w:ascii="宋体" w:hAnsi="宋体" w:cs="宋体"/>
          <w:szCs w:val="21"/>
        </w:rPr>
        <w:t>23.2  承包人索赔处理程序</w:t>
      </w:r>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14:paraId="24C4DC53">
      <w:pPr>
        <w:tabs>
          <w:tab w:val="left" w:pos="3855"/>
        </w:tabs>
        <w:spacing w:line="360" w:lineRule="auto"/>
        <w:rPr>
          <w:rFonts w:ascii="宋体" w:hAnsi="宋体" w:cs="宋体"/>
          <w:szCs w:val="21"/>
        </w:rPr>
      </w:pPr>
      <w:r>
        <w:rPr>
          <w:rFonts w:hint="eastAsia" w:ascii="宋体" w:hAnsi="宋体" w:cs="宋体"/>
          <w:szCs w:val="21"/>
        </w:rPr>
        <w:t>（1）监理人收到承包人提交的索赔通知书后，应及时审查索赔通知书的内容、查验承包人的记录和证明材料，必要时监理人可要求承包人提交全部原始记录副本。</w:t>
      </w:r>
    </w:p>
    <w:p w14:paraId="2F4530F9">
      <w:pPr>
        <w:tabs>
          <w:tab w:val="left" w:pos="3855"/>
        </w:tabs>
        <w:spacing w:line="360" w:lineRule="auto"/>
        <w:rPr>
          <w:rFonts w:ascii="宋体" w:hAnsi="宋体" w:cs="宋体"/>
          <w:szCs w:val="21"/>
        </w:rPr>
      </w:pPr>
      <w:r>
        <w:rPr>
          <w:rFonts w:hint="eastAsia" w:ascii="宋体" w:hAnsi="宋体" w:cs="宋体"/>
          <w:szCs w:val="21"/>
        </w:rPr>
        <w:t>（2）监理人应按第3.5款商定或确定追加的付款和（或）延长的工期，并在收到上述索赔通知书或有关索赔的进一步证明材料后的42天内，将索赔处理结果答复承包人。</w:t>
      </w:r>
    </w:p>
    <w:p w14:paraId="0C748B9D">
      <w:pPr>
        <w:tabs>
          <w:tab w:val="left" w:pos="3855"/>
        </w:tabs>
        <w:spacing w:line="360" w:lineRule="auto"/>
        <w:rPr>
          <w:rFonts w:ascii="宋体" w:hAnsi="宋体" w:cs="宋体"/>
          <w:szCs w:val="21"/>
        </w:rPr>
      </w:pPr>
      <w:r>
        <w:rPr>
          <w:rFonts w:hint="eastAsia" w:ascii="宋体" w:hAnsi="宋体" w:cs="宋体"/>
          <w:szCs w:val="21"/>
        </w:rPr>
        <w:t>（3）承包人接受索赔处理结果的，发包人应在作出索赔处理结果答复后28天内完成赔付。承包人不接受索赔处理结果的，按第24条的约定办理。</w:t>
      </w:r>
    </w:p>
    <w:p w14:paraId="6E1CC0A0">
      <w:pPr>
        <w:tabs>
          <w:tab w:val="left" w:pos="3855"/>
        </w:tabs>
        <w:spacing w:line="360" w:lineRule="auto"/>
        <w:outlineLvl w:val="1"/>
        <w:rPr>
          <w:rFonts w:ascii="宋体" w:hAnsi="宋体" w:cs="宋体"/>
          <w:szCs w:val="21"/>
        </w:rPr>
      </w:pPr>
      <w:bookmarkStart w:id="2339" w:name="_Toc483668228"/>
      <w:bookmarkStart w:id="2340" w:name="_Toc480486882"/>
      <w:bookmarkStart w:id="2341" w:name="_Toc342296411"/>
      <w:bookmarkStart w:id="2342" w:name="_Toc338944853"/>
      <w:bookmarkStart w:id="2343" w:name="_Toc486580199"/>
      <w:bookmarkStart w:id="2344" w:name="_Toc152045760"/>
      <w:bookmarkStart w:id="2345" w:name="_Toc489280010"/>
      <w:bookmarkStart w:id="2346" w:name="_Toc490222644"/>
      <w:bookmarkStart w:id="2347" w:name="_Toc497456589"/>
      <w:bookmarkStart w:id="2348" w:name="_Toc152042539"/>
      <w:bookmarkStart w:id="2349" w:name="_Toc144974730"/>
      <w:bookmarkStart w:id="2350" w:name="_Toc480487054"/>
      <w:bookmarkStart w:id="2351" w:name="_Toc179632778"/>
      <w:r>
        <w:rPr>
          <w:rFonts w:hint="eastAsia" w:ascii="宋体" w:hAnsi="宋体" w:cs="宋体"/>
          <w:szCs w:val="21"/>
        </w:rPr>
        <w:t>23.3  承包人提出索赔的期限</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14:paraId="6016BBF9">
      <w:pPr>
        <w:tabs>
          <w:tab w:val="left" w:pos="3855"/>
        </w:tabs>
        <w:spacing w:line="360" w:lineRule="auto"/>
        <w:outlineLvl w:val="2"/>
        <w:rPr>
          <w:rFonts w:ascii="宋体" w:hAnsi="宋体" w:cs="宋体"/>
          <w:szCs w:val="21"/>
        </w:rPr>
      </w:pPr>
      <w:r>
        <w:rPr>
          <w:rFonts w:hint="eastAsia" w:ascii="宋体" w:hAnsi="宋体" w:cs="宋体"/>
          <w:szCs w:val="21"/>
        </w:rPr>
        <w:t>23.3.1  承包人按第17.5款的约定接受了竣工付款证书后，应被认为已无权再提出在合同工程接收证书颁发前所发生的任何索赔。</w:t>
      </w:r>
    </w:p>
    <w:p w14:paraId="6336376A">
      <w:pPr>
        <w:tabs>
          <w:tab w:val="left" w:pos="3855"/>
        </w:tabs>
        <w:spacing w:line="360" w:lineRule="auto"/>
        <w:outlineLvl w:val="2"/>
        <w:rPr>
          <w:rFonts w:ascii="宋体" w:hAnsi="宋体" w:cs="宋体"/>
          <w:szCs w:val="21"/>
        </w:rPr>
      </w:pPr>
      <w:r>
        <w:rPr>
          <w:rFonts w:hint="eastAsia" w:ascii="宋体" w:hAnsi="宋体" w:cs="宋体"/>
          <w:szCs w:val="21"/>
        </w:rPr>
        <w:t xml:space="preserve">23.3.2  承包人按第17.6款的约定提交的最终结清申请单中，只限于提出工程接收证书颁发后发生的索赔。提出索赔的期限自接受最终结清证书时终止。 </w:t>
      </w:r>
    </w:p>
    <w:p w14:paraId="31F8D64B">
      <w:pPr>
        <w:tabs>
          <w:tab w:val="left" w:pos="3855"/>
        </w:tabs>
        <w:spacing w:line="360" w:lineRule="auto"/>
        <w:outlineLvl w:val="1"/>
        <w:rPr>
          <w:rFonts w:ascii="宋体" w:hAnsi="宋体" w:cs="宋体"/>
          <w:szCs w:val="21"/>
        </w:rPr>
      </w:pPr>
      <w:bookmarkStart w:id="2352" w:name="_Toc480487055"/>
      <w:bookmarkStart w:id="2353" w:name="_Toc338944854"/>
      <w:bookmarkStart w:id="2354" w:name="_Toc179632779"/>
      <w:bookmarkStart w:id="2355" w:name="_Toc489280011"/>
      <w:bookmarkStart w:id="2356" w:name="_Toc152042540"/>
      <w:bookmarkStart w:id="2357" w:name="_Toc144974731"/>
      <w:bookmarkStart w:id="2358" w:name="_Toc480486883"/>
      <w:bookmarkStart w:id="2359" w:name="_Toc152045761"/>
      <w:bookmarkStart w:id="2360" w:name="_Toc483668229"/>
      <w:bookmarkStart w:id="2361" w:name="_Toc497456590"/>
      <w:bookmarkStart w:id="2362" w:name="_Toc342296412"/>
      <w:bookmarkStart w:id="2363" w:name="_Toc490222645"/>
      <w:bookmarkStart w:id="2364" w:name="_Toc486580200"/>
      <w:r>
        <w:rPr>
          <w:rFonts w:hint="eastAsia" w:ascii="宋体" w:hAnsi="宋体" w:cs="宋体"/>
          <w:szCs w:val="21"/>
        </w:rPr>
        <w:t>23.4  发包人的索赔</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p>
    <w:p w14:paraId="3241CD98">
      <w:pPr>
        <w:tabs>
          <w:tab w:val="left" w:pos="3855"/>
        </w:tabs>
        <w:spacing w:line="360" w:lineRule="auto"/>
        <w:outlineLvl w:val="2"/>
        <w:rPr>
          <w:rFonts w:ascii="宋体" w:hAnsi="宋体" w:cs="宋体"/>
          <w:szCs w:val="21"/>
        </w:rPr>
      </w:pPr>
      <w:r>
        <w:rPr>
          <w:rFonts w:hint="eastAsia" w:ascii="宋体" w:hAnsi="宋体" w:cs="宋体"/>
          <w:szCs w:val="21"/>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21790B99">
      <w:pPr>
        <w:tabs>
          <w:tab w:val="left" w:pos="3855"/>
        </w:tabs>
        <w:spacing w:line="360" w:lineRule="auto"/>
        <w:outlineLvl w:val="2"/>
        <w:rPr>
          <w:rFonts w:ascii="宋体" w:hAnsi="宋体" w:cs="宋体"/>
          <w:szCs w:val="21"/>
        </w:rPr>
      </w:pPr>
      <w:r>
        <w:rPr>
          <w:rFonts w:hint="eastAsia" w:ascii="宋体" w:hAnsi="宋体" w:cs="宋体"/>
          <w:szCs w:val="21"/>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3BBEBC15">
      <w:pPr>
        <w:tabs>
          <w:tab w:val="left" w:pos="3855"/>
        </w:tabs>
        <w:spacing w:line="360" w:lineRule="auto"/>
        <w:outlineLvl w:val="0"/>
        <w:rPr>
          <w:rFonts w:ascii="宋体" w:hAnsi="宋体" w:cs="宋体"/>
          <w:szCs w:val="21"/>
        </w:rPr>
      </w:pPr>
      <w:bookmarkStart w:id="2365" w:name="_Toc342296413"/>
      <w:bookmarkStart w:id="2366" w:name="_Toc490222646"/>
      <w:bookmarkStart w:id="2367" w:name="_Toc486580201"/>
      <w:bookmarkStart w:id="2368" w:name="_Toc480487056"/>
      <w:bookmarkStart w:id="2369" w:name="_Toc497456591"/>
      <w:bookmarkStart w:id="2370" w:name="_Toc338944855"/>
      <w:bookmarkStart w:id="2371" w:name="_Toc480486884"/>
      <w:bookmarkStart w:id="2372" w:name="_Toc483668230"/>
      <w:bookmarkStart w:id="2373" w:name="_Toc489280012"/>
      <w:r>
        <w:rPr>
          <w:rFonts w:hint="eastAsia" w:ascii="宋体" w:hAnsi="宋体" w:cs="宋体"/>
          <w:szCs w:val="21"/>
        </w:rPr>
        <w:t>24.争议的解决</w:t>
      </w:r>
      <w:bookmarkEnd w:id="2365"/>
      <w:bookmarkEnd w:id="2366"/>
      <w:bookmarkEnd w:id="2367"/>
      <w:bookmarkEnd w:id="2368"/>
      <w:bookmarkEnd w:id="2369"/>
      <w:bookmarkEnd w:id="2370"/>
      <w:bookmarkEnd w:id="2371"/>
      <w:bookmarkEnd w:id="2372"/>
      <w:bookmarkEnd w:id="2373"/>
    </w:p>
    <w:p w14:paraId="1F4240C1">
      <w:pPr>
        <w:tabs>
          <w:tab w:val="left" w:pos="3855"/>
        </w:tabs>
        <w:spacing w:line="360" w:lineRule="auto"/>
        <w:outlineLvl w:val="1"/>
        <w:rPr>
          <w:rFonts w:ascii="宋体" w:hAnsi="宋体" w:cs="宋体"/>
          <w:szCs w:val="21"/>
        </w:rPr>
      </w:pPr>
      <w:bookmarkStart w:id="2374" w:name="_Toc338944856"/>
      <w:bookmarkStart w:id="2375" w:name="_Toc490222647"/>
      <w:bookmarkStart w:id="2376" w:name="_Toc486580202"/>
      <w:bookmarkStart w:id="2377" w:name="_Toc497456592"/>
      <w:bookmarkStart w:id="2378" w:name="_Toc342296414"/>
      <w:bookmarkStart w:id="2379" w:name="_Toc480486885"/>
      <w:bookmarkStart w:id="2380" w:name="_Toc483668231"/>
      <w:bookmarkStart w:id="2381" w:name="_Toc480487057"/>
      <w:bookmarkStart w:id="2382" w:name="_Toc489280013"/>
      <w:r>
        <w:rPr>
          <w:rFonts w:hint="eastAsia" w:ascii="宋体" w:hAnsi="宋体" w:cs="宋体"/>
          <w:szCs w:val="21"/>
        </w:rPr>
        <w:t>24.1  争议的解决方式</w:t>
      </w:r>
      <w:bookmarkEnd w:id="2374"/>
      <w:bookmarkEnd w:id="2375"/>
      <w:bookmarkEnd w:id="2376"/>
      <w:bookmarkEnd w:id="2377"/>
      <w:bookmarkEnd w:id="2378"/>
      <w:bookmarkEnd w:id="2379"/>
      <w:bookmarkEnd w:id="2380"/>
      <w:bookmarkEnd w:id="2381"/>
      <w:bookmarkEnd w:id="2382"/>
    </w:p>
    <w:p w14:paraId="4BBAFEC2">
      <w:pPr>
        <w:tabs>
          <w:tab w:val="left" w:pos="3855"/>
        </w:tabs>
        <w:spacing w:line="360" w:lineRule="auto"/>
        <w:rPr>
          <w:rFonts w:ascii="宋体" w:hAnsi="宋体" w:cs="宋体"/>
          <w:szCs w:val="21"/>
        </w:rPr>
      </w:pPr>
      <w:r>
        <w:rPr>
          <w:rFonts w:hint="eastAsia" w:ascii="宋体" w:hAnsi="宋体" w:cs="宋体"/>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14:paraId="5FCC3FBA">
      <w:pPr>
        <w:tabs>
          <w:tab w:val="left" w:pos="3855"/>
        </w:tabs>
        <w:spacing w:line="360" w:lineRule="auto"/>
        <w:rPr>
          <w:rFonts w:ascii="宋体" w:hAnsi="宋体" w:cs="宋体"/>
          <w:szCs w:val="21"/>
        </w:rPr>
      </w:pPr>
      <w:r>
        <w:rPr>
          <w:rFonts w:hint="eastAsia" w:ascii="宋体" w:hAnsi="宋体" w:cs="宋体"/>
          <w:szCs w:val="21"/>
        </w:rPr>
        <w:t>（1）向约定的仲裁委员会申请仲裁；</w:t>
      </w:r>
    </w:p>
    <w:p w14:paraId="39B5A7F3">
      <w:pPr>
        <w:tabs>
          <w:tab w:val="left" w:pos="3855"/>
        </w:tabs>
        <w:spacing w:line="360" w:lineRule="auto"/>
        <w:rPr>
          <w:rFonts w:ascii="宋体" w:hAnsi="宋体" w:cs="宋体"/>
          <w:szCs w:val="21"/>
        </w:rPr>
      </w:pPr>
      <w:r>
        <w:rPr>
          <w:rFonts w:hint="eastAsia" w:ascii="宋体" w:hAnsi="宋体" w:cs="宋体"/>
          <w:szCs w:val="21"/>
        </w:rPr>
        <w:t>（2）向有管辖权的人民法院提起诉讼。</w:t>
      </w:r>
    </w:p>
    <w:p w14:paraId="08F8E5E7">
      <w:pPr>
        <w:tabs>
          <w:tab w:val="left" w:pos="3855"/>
        </w:tabs>
        <w:spacing w:line="360" w:lineRule="auto"/>
        <w:outlineLvl w:val="1"/>
        <w:rPr>
          <w:rFonts w:ascii="宋体" w:hAnsi="宋体" w:cs="宋体"/>
          <w:szCs w:val="21"/>
        </w:rPr>
      </w:pPr>
      <w:bookmarkStart w:id="2383" w:name="_Toc483668232"/>
      <w:bookmarkStart w:id="2384" w:name="_Toc480486886"/>
      <w:bookmarkStart w:id="2385" w:name="_Toc497456593"/>
      <w:bookmarkStart w:id="2386" w:name="_Toc342296415"/>
      <w:bookmarkStart w:id="2387" w:name="_Toc490222648"/>
      <w:bookmarkStart w:id="2388" w:name="_Toc489280014"/>
      <w:bookmarkStart w:id="2389" w:name="_Toc480487058"/>
      <w:bookmarkStart w:id="2390" w:name="_Toc486580203"/>
      <w:bookmarkStart w:id="2391" w:name="_Toc338944857"/>
      <w:r>
        <w:rPr>
          <w:rFonts w:hint="eastAsia" w:ascii="宋体" w:hAnsi="宋体" w:cs="宋体"/>
          <w:szCs w:val="21"/>
        </w:rPr>
        <w:t>24.2  友好解决</w:t>
      </w:r>
      <w:bookmarkEnd w:id="2383"/>
      <w:bookmarkEnd w:id="2384"/>
      <w:bookmarkEnd w:id="2385"/>
      <w:bookmarkEnd w:id="2386"/>
      <w:bookmarkEnd w:id="2387"/>
      <w:bookmarkEnd w:id="2388"/>
      <w:bookmarkEnd w:id="2389"/>
      <w:bookmarkEnd w:id="2390"/>
      <w:bookmarkEnd w:id="2391"/>
    </w:p>
    <w:p w14:paraId="4F98937A">
      <w:pPr>
        <w:tabs>
          <w:tab w:val="left" w:pos="3855"/>
        </w:tabs>
        <w:spacing w:line="360" w:lineRule="auto"/>
        <w:rPr>
          <w:rFonts w:ascii="宋体" w:hAnsi="宋体" w:cs="宋体"/>
          <w:szCs w:val="21"/>
        </w:rPr>
      </w:pPr>
      <w:r>
        <w:rPr>
          <w:rFonts w:hint="eastAsia" w:ascii="宋体" w:hAnsi="宋体" w:cs="宋体"/>
          <w:szCs w:val="21"/>
        </w:rPr>
        <w:t>在提请争议评审、仲裁或者诉讼前，以及在争议评审、仲裁或诉讼过程中，发包人和承包人均可共同努力友好协商解决争议。</w:t>
      </w:r>
    </w:p>
    <w:p w14:paraId="2B5E90E1">
      <w:pPr>
        <w:tabs>
          <w:tab w:val="left" w:pos="3855"/>
        </w:tabs>
        <w:spacing w:line="360" w:lineRule="auto"/>
        <w:outlineLvl w:val="1"/>
        <w:rPr>
          <w:rFonts w:ascii="宋体" w:hAnsi="宋体" w:cs="宋体"/>
          <w:szCs w:val="21"/>
        </w:rPr>
      </w:pPr>
      <w:bookmarkStart w:id="2392" w:name="_Toc342296416"/>
      <w:bookmarkStart w:id="2393" w:name="_Toc489280015"/>
      <w:bookmarkStart w:id="2394" w:name="_Toc490222649"/>
      <w:bookmarkStart w:id="2395" w:name="_Toc480486887"/>
      <w:bookmarkStart w:id="2396" w:name="_Toc483668233"/>
      <w:bookmarkStart w:id="2397" w:name="_Toc338944858"/>
      <w:bookmarkStart w:id="2398" w:name="_Toc497456594"/>
      <w:bookmarkStart w:id="2399" w:name="_Toc480487059"/>
      <w:bookmarkStart w:id="2400" w:name="_Toc486580204"/>
      <w:r>
        <w:rPr>
          <w:rFonts w:hint="eastAsia" w:ascii="宋体" w:hAnsi="宋体" w:cs="宋体"/>
          <w:szCs w:val="21"/>
        </w:rPr>
        <w:t>24.3  争议评审</w:t>
      </w:r>
      <w:bookmarkEnd w:id="2392"/>
      <w:bookmarkEnd w:id="2393"/>
      <w:bookmarkEnd w:id="2394"/>
      <w:bookmarkEnd w:id="2395"/>
      <w:bookmarkEnd w:id="2396"/>
      <w:bookmarkEnd w:id="2397"/>
      <w:bookmarkEnd w:id="2398"/>
      <w:bookmarkEnd w:id="2399"/>
      <w:bookmarkEnd w:id="2400"/>
    </w:p>
    <w:p w14:paraId="65E8CE3E">
      <w:pPr>
        <w:tabs>
          <w:tab w:val="left" w:pos="3855"/>
        </w:tabs>
        <w:spacing w:line="360" w:lineRule="auto"/>
        <w:outlineLvl w:val="2"/>
        <w:rPr>
          <w:rFonts w:ascii="宋体" w:hAnsi="宋体" w:cs="宋体"/>
          <w:szCs w:val="21"/>
        </w:rPr>
      </w:pPr>
      <w:r>
        <w:rPr>
          <w:rFonts w:hint="eastAsia" w:ascii="宋体" w:hAnsi="宋体" w:cs="宋体"/>
          <w:szCs w:val="21"/>
        </w:rPr>
        <w:t>24.3.1  采用争议评审的，发包人和承包人应在开工日后的28天内或在争议发生后，协商成立争议评审组。争议评审组由有合同管理和工程实践经验的专家组成。</w:t>
      </w:r>
    </w:p>
    <w:p w14:paraId="2F3D1DCE">
      <w:pPr>
        <w:tabs>
          <w:tab w:val="left" w:pos="3855"/>
        </w:tabs>
        <w:spacing w:line="360" w:lineRule="auto"/>
        <w:outlineLvl w:val="2"/>
        <w:rPr>
          <w:rFonts w:ascii="宋体" w:hAnsi="宋体" w:cs="宋体"/>
          <w:szCs w:val="21"/>
        </w:rPr>
      </w:pPr>
      <w:r>
        <w:rPr>
          <w:rFonts w:hint="eastAsia" w:ascii="宋体" w:hAnsi="宋体" w:cs="宋体"/>
          <w:szCs w:val="21"/>
        </w:rPr>
        <w:t>24.3.2  合同双方的争议，应首先由申请人向争议评审组提交一份详细的评审申请报告，并附必要的文件、图纸和证明材料，申请人还应将上述报告的副本同时提交给被申请人和监理人。</w:t>
      </w:r>
    </w:p>
    <w:p w14:paraId="56AD3649">
      <w:pPr>
        <w:tabs>
          <w:tab w:val="left" w:pos="3855"/>
        </w:tabs>
        <w:spacing w:line="360" w:lineRule="auto"/>
        <w:outlineLvl w:val="2"/>
        <w:rPr>
          <w:rFonts w:ascii="宋体" w:hAnsi="宋体" w:cs="宋体"/>
          <w:szCs w:val="21"/>
        </w:rPr>
      </w:pPr>
      <w:r>
        <w:rPr>
          <w:rFonts w:hint="eastAsia" w:ascii="宋体" w:hAnsi="宋体" w:cs="宋体"/>
          <w:szCs w:val="21"/>
        </w:rPr>
        <w:t>24.3.3  被申请人在收到申请人评审申请报告副本后的28天内，向争议评审组提交一份答辩报告，并附证明材料。被申请人应将答辩报告的副本同时提交给申请人和监理人。</w:t>
      </w:r>
    </w:p>
    <w:p w14:paraId="4E086F2D">
      <w:pPr>
        <w:tabs>
          <w:tab w:val="left" w:pos="3855"/>
        </w:tabs>
        <w:spacing w:line="360" w:lineRule="auto"/>
        <w:outlineLvl w:val="2"/>
        <w:rPr>
          <w:rFonts w:ascii="宋体" w:hAnsi="宋体" w:cs="宋体"/>
          <w:szCs w:val="21"/>
        </w:rPr>
      </w:pPr>
      <w:r>
        <w:rPr>
          <w:rFonts w:hint="eastAsia" w:ascii="宋体" w:hAnsi="宋体" w:cs="宋体"/>
          <w:szCs w:val="21"/>
        </w:rPr>
        <w:t>24.3.4  争议评审组在收到合同双方报告后的14天内，邀请双方代表和有关人员在合同约定的期限内举行调查会，向双方调查争议细节；必要时争议评审组可要求双方进一步提供补充材料。举行调查会的期限见合同条款专用部分。</w:t>
      </w:r>
    </w:p>
    <w:p w14:paraId="349DF753">
      <w:pPr>
        <w:tabs>
          <w:tab w:val="left" w:pos="3855"/>
        </w:tabs>
        <w:spacing w:line="360" w:lineRule="auto"/>
        <w:outlineLvl w:val="2"/>
        <w:rPr>
          <w:rFonts w:ascii="宋体" w:hAnsi="宋体" w:cs="宋体"/>
          <w:szCs w:val="21"/>
        </w:rPr>
      </w:pPr>
      <w:r>
        <w:rPr>
          <w:rFonts w:hint="eastAsia" w:ascii="宋体" w:hAnsi="宋体" w:cs="宋体"/>
          <w:szCs w:val="21"/>
        </w:rPr>
        <w:t>24.3.5  在调查会结束后的14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14:paraId="2B260D29">
      <w:pPr>
        <w:tabs>
          <w:tab w:val="left" w:pos="3855"/>
        </w:tabs>
        <w:spacing w:line="360" w:lineRule="auto"/>
        <w:outlineLvl w:val="2"/>
        <w:rPr>
          <w:rFonts w:ascii="宋体" w:hAnsi="宋体" w:cs="宋体"/>
          <w:szCs w:val="21"/>
        </w:rPr>
      </w:pPr>
      <w:r>
        <w:rPr>
          <w:rFonts w:hint="eastAsia" w:ascii="宋体" w:hAnsi="宋体" w:cs="宋体"/>
          <w:szCs w:val="21"/>
        </w:rPr>
        <w:t>24.3.6  发包人和承包人接受评审意见的，由监理人根据评审意见拟定执行协议，经争议双方签字后作为合同的补充文件，并遵照执行。</w:t>
      </w:r>
    </w:p>
    <w:p w14:paraId="6DD3A7D9">
      <w:pPr>
        <w:tabs>
          <w:tab w:val="left" w:pos="3855"/>
        </w:tabs>
        <w:spacing w:line="360" w:lineRule="auto"/>
        <w:outlineLvl w:val="2"/>
        <w:rPr>
          <w:rFonts w:ascii="宋体" w:hAnsi="宋体" w:cs="宋体"/>
          <w:szCs w:val="21"/>
        </w:rPr>
      </w:pPr>
      <w:r>
        <w:rPr>
          <w:rFonts w:hint="eastAsia" w:ascii="宋体" w:hAnsi="宋体" w:cs="宋体"/>
          <w:szCs w:val="21"/>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6BDB1462">
      <w:pPr>
        <w:tabs>
          <w:tab w:val="left" w:pos="3855"/>
        </w:tabs>
        <w:spacing w:line="360" w:lineRule="auto"/>
        <w:rPr>
          <w:rFonts w:ascii="宋体" w:hAnsi="宋体" w:cs="宋体"/>
          <w:szCs w:val="21"/>
        </w:rPr>
      </w:pPr>
    </w:p>
    <w:p w14:paraId="4EA9EAD0">
      <w:pPr>
        <w:tabs>
          <w:tab w:val="left" w:pos="3855"/>
        </w:tabs>
        <w:spacing w:line="360" w:lineRule="auto"/>
        <w:rPr>
          <w:rFonts w:ascii="宋体" w:hAnsi="宋体" w:cs="宋体"/>
          <w:szCs w:val="21"/>
        </w:rPr>
      </w:pPr>
    </w:p>
    <w:p w14:paraId="67A2071A">
      <w:pPr>
        <w:tabs>
          <w:tab w:val="left" w:pos="3855"/>
        </w:tabs>
        <w:spacing w:line="360" w:lineRule="auto"/>
        <w:rPr>
          <w:rFonts w:ascii="宋体" w:hAnsi="宋体" w:cs="宋体"/>
          <w:szCs w:val="21"/>
        </w:rPr>
        <w:sectPr>
          <w:headerReference r:id="rId19" w:type="first"/>
          <w:headerReference r:id="rId17" w:type="default"/>
          <w:footerReference r:id="rId20" w:type="default"/>
          <w:headerReference r:id="rId18" w:type="even"/>
          <w:pgSz w:w="11906" w:h="16838"/>
          <w:pgMar w:top="1440" w:right="1797" w:bottom="1440" w:left="1797" w:header="397" w:footer="992" w:gutter="0"/>
          <w:cols w:space="720" w:num="1"/>
          <w:docGrid w:linePitch="312" w:charSpace="0"/>
        </w:sectPr>
      </w:pPr>
    </w:p>
    <w:p w14:paraId="4DF74C9B">
      <w:pPr>
        <w:tabs>
          <w:tab w:val="left" w:pos="3855"/>
        </w:tabs>
        <w:spacing w:line="360" w:lineRule="auto"/>
        <w:jc w:val="center"/>
        <w:rPr>
          <w:rFonts w:ascii="宋体" w:hAnsi="宋体" w:cs="宋体"/>
          <w:szCs w:val="21"/>
        </w:rPr>
      </w:pPr>
    </w:p>
    <w:p w14:paraId="2342C02F">
      <w:pPr>
        <w:spacing w:line="360" w:lineRule="auto"/>
        <w:jc w:val="center"/>
        <w:outlineLvl w:val="0"/>
        <w:rPr>
          <w:rFonts w:ascii="宋体" w:hAnsi="宋体" w:cs="宋体"/>
          <w:sz w:val="24"/>
        </w:rPr>
      </w:pPr>
      <w:r>
        <w:rPr>
          <w:rFonts w:hint="eastAsia" w:ascii="宋体" w:hAnsi="宋体" w:cs="宋体"/>
          <w:sz w:val="24"/>
        </w:rPr>
        <w:t>专用合同条款</w:t>
      </w:r>
    </w:p>
    <w:p w14:paraId="52D397CD">
      <w:pPr>
        <w:tabs>
          <w:tab w:val="left" w:pos="3855"/>
        </w:tabs>
        <w:spacing w:line="360" w:lineRule="auto"/>
        <w:outlineLvl w:val="0"/>
        <w:rPr>
          <w:rFonts w:ascii="宋体" w:hAnsi="宋体" w:cs="宋体"/>
          <w:szCs w:val="21"/>
        </w:rPr>
      </w:pPr>
      <w:r>
        <w:rPr>
          <w:rFonts w:hint="eastAsia" w:ascii="宋体" w:hAnsi="宋体" w:cs="宋体"/>
          <w:szCs w:val="21"/>
        </w:rPr>
        <w:t>1.一般约定</w:t>
      </w:r>
    </w:p>
    <w:p w14:paraId="1A736D50">
      <w:pPr>
        <w:tabs>
          <w:tab w:val="left" w:pos="3855"/>
        </w:tabs>
        <w:spacing w:line="360" w:lineRule="auto"/>
        <w:outlineLvl w:val="1"/>
        <w:rPr>
          <w:rFonts w:ascii="宋体" w:hAnsi="宋体" w:cs="宋体"/>
          <w:szCs w:val="21"/>
        </w:rPr>
      </w:pPr>
      <w:r>
        <w:rPr>
          <w:rFonts w:hint="eastAsia" w:ascii="宋体" w:hAnsi="宋体" w:cs="宋体"/>
          <w:szCs w:val="21"/>
        </w:rPr>
        <w:t>1.1词语定义</w:t>
      </w:r>
    </w:p>
    <w:p w14:paraId="593567BC">
      <w:pPr>
        <w:tabs>
          <w:tab w:val="left" w:pos="3855"/>
        </w:tabs>
        <w:spacing w:line="360" w:lineRule="auto"/>
        <w:outlineLvl w:val="2"/>
        <w:rPr>
          <w:rFonts w:ascii="宋体" w:hAnsi="宋体" w:cs="宋体"/>
          <w:szCs w:val="21"/>
        </w:rPr>
      </w:pPr>
      <w:r>
        <w:rPr>
          <w:rFonts w:hint="eastAsia" w:ascii="宋体" w:hAnsi="宋体" w:cs="宋体"/>
          <w:szCs w:val="21"/>
        </w:rPr>
        <w:t>1.1.2合同当事人和人员</w:t>
      </w:r>
    </w:p>
    <w:p w14:paraId="70D970AF">
      <w:pPr>
        <w:tabs>
          <w:tab w:val="left" w:pos="3855"/>
        </w:tabs>
        <w:spacing w:line="360" w:lineRule="auto"/>
        <w:outlineLvl w:val="3"/>
        <w:rPr>
          <w:rFonts w:ascii="宋体" w:hAnsi="宋体" w:cs="宋体"/>
          <w:szCs w:val="21"/>
        </w:rPr>
      </w:pPr>
      <w:r>
        <w:rPr>
          <w:rFonts w:hint="eastAsia" w:ascii="宋体" w:hAnsi="宋体" w:cs="宋体"/>
          <w:szCs w:val="21"/>
        </w:rPr>
        <w:t>1.1.2.2发包人：</w:t>
      </w:r>
      <w:r>
        <w:rPr>
          <w:rFonts w:hint="eastAsia" w:ascii="宋体" w:hAnsi="宋体" w:cs="宋体"/>
          <w:szCs w:val="21"/>
          <w:u w:val="single"/>
        </w:rPr>
        <w:t xml:space="preserve">        </w:t>
      </w:r>
      <w:r>
        <w:rPr>
          <w:rFonts w:hint="eastAsia" w:ascii="宋体" w:hAnsi="宋体" w:cs="宋体"/>
          <w:szCs w:val="21"/>
        </w:rPr>
        <w:fldChar w:fldCharType="begin"/>
      </w:r>
      <w:r>
        <w:rPr>
          <w:rFonts w:hint="eastAsia" w:ascii="宋体" w:hAnsi="宋体" w:cs="宋体"/>
          <w:szCs w:val="21"/>
        </w:rPr>
        <w:instrText xml:space="preserve"> AUTOTEXT  input417 \* MERGEFORMAT </w:instrText>
      </w:r>
      <w:r>
        <w:rPr>
          <w:rFonts w:hint="eastAsia" w:ascii="宋体" w:hAnsi="宋体" w:cs="宋体"/>
          <w:szCs w:val="21"/>
        </w:rPr>
        <w:fldChar w:fldCharType="end"/>
      </w:r>
    </w:p>
    <w:p w14:paraId="60C4DE29">
      <w:pPr>
        <w:tabs>
          <w:tab w:val="left" w:pos="3855"/>
        </w:tabs>
        <w:spacing w:line="360" w:lineRule="auto"/>
        <w:outlineLvl w:val="3"/>
        <w:rPr>
          <w:rFonts w:ascii="宋体" w:hAnsi="宋体" w:cs="宋体"/>
          <w:szCs w:val="21"/>
        </w:rPr>
      </w:pPr>
      <w:r>
        <w:rPr>
          <w:rFonts w:hint="eastAsia" w:ascii="宋体" w:hAnsi="宋体" w:cs="宋体"/>
          <w:szCs w:val="21"/>
        </w:rPr>
        <w:t>1.1.2.3承包人：</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AUTOTEXT  input834 \* MERGEFORMAT </w:instrText>
      </w:r>
      <w:r>
        <w:rPr>
          <w:rFonts w:hint="eastAsia" w:ascii="宋体" w:hAnsi="宋体" w:cs="宋体"/>
          <w:szCs w:val="21"/>
        </w:rPr>
        <w:fldChar w:fldCharType="end"/>
      </w:r>
    </w:p>
    <w:p w14:paraId="7B8BBD02">
      <w:pPr>
        <w:tabs>
          <w:tab w:val="left" w:pos="3855"/>
        </w:tabs>
        <w:spacing w:line="360" w:lineRule="auto"/>
        <w:outlineLvl w:val="3"/>
        <w:rPr>
          <w:rFonts w:ascii="宋体" w:hAnsi="宋体" w:cs="宋体"/>
          <w:szCs w:val="21"/>
        </w:rPr>
      </w:pPr>
      <w:r>
        <w:rPr>
          <w:rFonts w:hint="eastAsia" w:ascii="宋体" w:hAnsi="宋体" w:cs="宋体"/>
          <w:szCs w:val="21"/>
        </w:rPr>
        <w:t>1.1.2.6监理人：</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AUTOTEXT  input418 \* MERGEFORMAT </w:instrText>
      </w:r>
      <w:r>
        <w:rPr>
          <w:rFonts w:hint="eastAsia" w:ascii="宋体" w:hAnsi="宋体" w:cs="宋体"/>
          <w:szCs w:val="21"/>
        </w:rPr>
        <w:fldChar w:fldCharType="end"/>
      </w:r>
    </w:p>
    <w:p w14:paraId="3ADEE811">
      <w:pPr>
        <w:tabs>
          <w:tab w:val="left" w:pos="3855"/>
        </w:tabs>
        <w:spacing w:line="360" w:lineRule="auto"/>
        <w:outlineLvl w:val="3"/>
        <w:rPr>
          <w:rFonts w:ascii="宋体" w:hAnsi="宋体" w:cs="宋体"/>
          <w:szCs w:val="21"/>
        </w:rPr>
      </w:pPr>
      <w:r>
        <w:rPr>
          <w:rFonts w:hint="eastAsia" w:ascii="宋体" w:hAnsi="宋体" w:cs="宋体"/>
          <w:szCs w:val="21"/>
        </w:rPr>
        <w:t>1.1.2.8发包人代表：</w:t>
      </w:r>
    </w:p>
    <w:p w14:paraId="1479B536">
      <w:pPr>
        <w:tabs>
          <w:tab w:val="left" w:pos="3855"/>
        </w:tabs>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AUTOTEXT  input419 \* MERGEFORMAT </w:instrText>
      </w:r>
      <w:r>
        <w:rPr>
          <w:rFonts w:hint="eastAsia" w:ascii="宋体" w:hAnsi="宋体" w:cs="宋体"/>
          <w:szCs w:val="21"/>
        </w:rPr>
        <w:fldChar w:fldCharType="end"/>
      </w:r>
    </w:p>
    <w:p w14:paraId="1C2994B6">
      <w:pPr>
        <w:tabs>
          <w:tab w:val="left" w:pos="3855"/>
        </w:tabs>
        <w:spacing w:line="360" w:lineRule="auto"/>
        <w:rPr>
          <w:rFonts w:ascii="宋体" w:hAnsi="宋体" w:cs="宋体"/>
          <w:szCs w:val="21"/>
        </w:rPr>
      </w:pPr>
      <w:r>
        <w:rPr>
          <w:rFonts w:hint="eastAsia" w:ascii="宋体" w:hAnsi="宋体" w:cs="宋体"/>
          <w:szCs w:val="21"/>
        </w:rPr>
        <w:t>职    称：</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AUTOTEXT  input420 \* MERGEFORMAT </w:instrText>
      </w:r>
      <w:r>
        <w:rPr>
          <w:rFonts w:hint="eastAsia" w:ascii="宋体" w:hAnsi="宋体" w:cs="宋体"/>
          <w:szCs w:val="21"/>
        </w:rPr>
        <w:fldChar w:fldCharType="end"/>
      </w:r>
    </w:p>
    <w:p w14:paraId="023AD786">
      <w:pPr>
        <w:tabs>
          <w:tab w:val="left" w:pos="3855"/>
        </w:tabs>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AUTOTEXT  input421 \* MERGEFORMAT </w:instrText>
      </w:r>
      <w:r>
        <w:rPr>
          <w:rFonts w:hint="eastAsia" w:ascii="宋体" w:hAnsi="宋体" w:cs="宋体"/>
          <w:szCs w:val="21"/>
        </w:rPr>
        <w:fldChar w:fldCharType="end"/>
      </w:r>
    </w:p>
    <w:p w14:paraId="266AD525">
      <w:pPr>
        <w:tabs>
          <w:tab w:val="left" w:pos="3855"/>
        </w:tabs>
        <w:spacing w:line="360" w:lineRule="auto"/>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AUTOTEXT  input422 \* MERGEFORMAT </w:instrText>
      </w:r>
      <w:r>
        <w:rPr>
          <w:rFonts w:hint="eastAsia" w:ascii="宋体" w:hAnsi="宋体" w:cs="宋体"/>
          <w:szCs w:val="21"/>
        </w:rPr>
        <w:fldChar w:fldCharType="end"/>
      </w:r>
    </w:p>
    <w:p w14:paraId="6B7FBF63">
      <w:pPr>
        <w:tabs>
          <w:tab w:val="left" w:pos="3855"/>
        </w:tabs>
        <w:spacing w:line="360" w:lineRule="auto"/>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AUTOTEXT  input423 \* MERGEFORMAT </w:instrText>
      </w:r>
      <w:r>
        <w:rPr>
          <w:rFonts w:hint="eastAsia" w:ascii="宋体" w:hAnsi="宋体" w:cs="宋体"/>
          <w:szCs w:val="21"/>
        </w:rPr>
        <w:fldChar w:fldCharType="end"/>
      </w:r>
    </w:p>
    <w:p w14:paraId="1EDE2CBB">
      <w:pPr>
        <w:tabs>
          <w:tab w:val="left" w:pos="3855"/>
        </w:tabs>
        <w:spacing w:line="360" w:lineRule="auto"/>
        <w:outlineLvl w:val="2"/>
        <w:rPr>
          <w:rFonts w:ascii="宋体" w:hAnsi="宋体" w:cs="宋体"/>
          <w:szCs w:val="21"/>
        </w:rPr>
      </w:pPr>
      <w:r>
        <w:rPr>
          <w:rFonts w:hint="eastAsia" w:ascii="宋体" w:hAnsi="宋体" w:cs="宋体"/>
          <w:szCs w:val="21"/>
        </w:rPr>
        <w:t>1.1.3工程和设备</w:t>
      </w:r>
    </w:p>
    <w:p w14:paraId="4C66CDD6">
      <w:pPr>
        <w:tabs>
          <w:tab w:val="left" w:pos="3855"/>
        </w:tabs>
        <w:spacing w:line="360" w:lineRule="auto"/>
        <w:outlineLvl w:val="3"/>
        <w:rPr>
          <w:rFonts w:ascii="宋体" w:hAnsi="宋体" w:cs="宋体"/>
          <w:szCs w:val="21"/>
        </w:rPr>
      </w:pPr>
      <w:r>
        <w:rPr>
          <w:rFonts w:hint="eastAsia" w:ascii="宋体" w:hAnsi="宋体" w:cs="宋体"/>
          <w:szCs w:val="21"/>
        </w:rPr>
        <w:t>1.1.3.2永久工程：</w:t>
      </w:r>
      <w:r>
        <w:rPr>
          <w:rFonts w:hint="eastAsia" w:ascii="宋体" w:hAnsi="宋体" w:cs="宋体"/>
          <w:szCs w:val="21"/>
          <w:u w:val="single"/>
        </w:rPr>
        <w:t>本工程图纸及清单范围内全部内容。</w:t>
      </w:r>
      <w:r>
        <w:rPr>
          <w:rFonts w:hint="eastAsia" w:ascii="宋体" w:hAnsi="宋体" w:cs="宋体"/>
          <w:szCs w:val="21"/>
        </w:rPr>
        <w:fldChar w:fldCharType="begin"/>
      </w:r>
      <w:r>
        <w:rPr>
          <w:rFonts w:hint="eastAsia" w:ascii="宋体" w:hAnsi="宋体" w:cs="宋体"/>
          <w:szCs w:val="21"/>
        </w:rPr>
        <w:instrText xml:space="preserve"> AUTOTEXT  input424 \* MERGEFORMAT </w:instrText>
      </w:r>
      <w:r>
        <w:rPr>
          <w:rFonts w:hint="eastAsia" w:ascii="宋体" w:hAnsi="宋体" w:cs="宋体"/>
          <w:szCs w:val="21"/>
        </w:rPr>
        <w:fldChar w:fldCharType="end"/>
      </w:r>
    </w:p>
    <w:p w14:paraId="1EF364A9">
      <w:pPr>
        <w:tabs>
          <w:tab w:val="left" w:pos="3855"/>
        </w:tabs>
        <w:spacing w:line="360" w:lineRule="auto"/>
        <w:outlineLvl w:val="3"/>
        <w:rPr>
          <w:rFonts w:ascii="宋体" w:hAnsi="宋体" w:cs="宋体"/>
          <w:szCs w:val="21"/>
        </w:rPr>
      </w:pPr>
      <w:r>
        <w:rPr>
          <w:rFonts w:hint="eastAsia" w:ascii="宋体" w:hAnsi="宋体" w:cs="宋体"/>
          <w:szCs w:val="21"/>
        </w:rPr>
        <w:t>1.1.3.3临时工程：</w:t>
      </w:r>
      <w:r>
        <w:rPr>
          <w:rFonts w:hint="eastAsia" w:ascii="宋体" w:hAnsi="宋体" w:cs="宋体"/>
          <w:szCs w:val="21"/>
          <w:u w:val="single"/>
        </w:rPr>
        <w:t>施工用水、施工用电、临时设施。</w:t>
      </w:r>
      <w:r>
        <w:rPr>
          <w:rFonts w:hint="eastAsia" w:ascii="宋体" w:hAnsi="宋体" w:cs="宋体"/>
          <w:szCs w:val="21"/>
        </w:rPr>
        <w:fldChar w:fldCharType="begin"/>
      </w:r>
      <w:r>
        <w:rPr>
          <w:rFonts w:hint="eastAsia" w:ascii="宋体" w:hAnsi="宋体" w:cs="宋体"/>
          <w:szCs w:val="21"/>
        </w:rPr>
        <w:instrText xml:space="preserve"> AUTOTEXT  input425 \* MERGEFORMAT </w:instrText>
      </w:r>
      <w:r>
        <w:rPr>
          <w:rFonts w:hint="eastAsia" w:ascii="宋体" w:hAnsi="宋体" w:cs="宋体"/>
          <w:szCs w:val="21"/>
        </w:rPr>
        <w:fldChar w:fldCharType="end"/>
      </w:r>
    </w:p>
    <w:p w14:paraId="7A6959AB">
      <w:pPr>
        <w:tabs>
          <w:tab w:val="left" w:pos="3855"/>
        </w:tabs>
        <w:spacing w:line="360" w:lineRule="auto"/>
        <w:outlineLvl w:val="3"/>
        <w:rPr>
          <w:rFonts w:ascii="宋体" w:hAnsi="宋体" w:cs="宋体"/>
          <w:szCs w:val="21"/>
        </w:rPr>
      </w:pPr>
      <w:r>
        <w:rPr>
          <w:rFonts w:hint="eastAsia" w:ascii="宋体" w:hAnsi="宋体" w:cs="宋体"/>
          <w:szCs w:val="21"/>
        </w:rPr>
        <w:t>1.1.3.10永久占地：</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input426 \* MERGEFORMAT </w:instrText>
      </w:r>
      <w:r>
        <w:rPr>
          <w:rFonts w:hint="eastAsia" w:ascii="宋体" w:hAnsi="宋体" w:cs="宋体"/>
          <w:szCs w:val="21"/>
        </w:rPr>
        <w:fldChar w:fldCharType="end"/>
      </w:r>
    </w:p>
    <w:p w14:paraId="36A1F0C1">
      <w:pPr>
        <w:tabs>
          <w:tab w:val="left" w:pos="3855"/>
        </w:tabs>
        <w:spacing w:line="360" w:lineRule="auto"/>
        <w:outlineLvl w:val="3"/>
        <w:rPr>
          <w:rFonts w:ascii="宋体" w:hAnsi="宋体" w:cs="宋体"/>
          <w:szCs w:val="21"/>
        </w:rPr>
      </w:pPr>
      <w:r>
        <w:rPr>
          <w:rFonts w:hint="eastAsia" w:ascii="宋体" w:hAnsi="宋体" w:cs="宋体"/>
          <w:szCs w:val="21"/>
        </w:rPr>
        <w:t>1.1.3.11临时占地：</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input427 \* MERGEFORMAT </w:instrText>
      </w:r>
      <w:r>
        <w:rPr>
          <w:rFonts w:hint="eastAsia" w:ascii="宋体" w:hAnsi="宋体" w:cs="宋体"/>
          <w:szCs w:val="21"/>
        </w:rPr>
        <w:fldChar w:fldCharType="end"/>
      </w:r>
    </w:p>
    <w:p w14:paraId="7D9DEADC">
      <w:pPr>
        <w:tabs>
          <w:tab w:val="left" w:pos="3855"/>
        </w:tabs>
        <w:spacing w:line="360" w:lineRule="auto"/>
        <w:outlineLvl w:val="2"/>
        <w:rPr>
          <w:rFonts w:ascii="宋体" w:hAnsi="宋体" w:cs="宋体"/>
          <w:szCs w:val="21"/>
        </w:rPr>
      </w:pPr>
      <w:r>
        <w:rPr>
          <w:rFonts w:hint="eastAsia" w:ascii="宋体" w:hAnsi="宋体" w:cs="宋体"/>
          <w:szCs w:val="21"/>
        </w:rPr>
        <w:t>1.1.4日期</w:t>
      </w:r>
    </w:p>
    <w:p w14:paraId="2E47F674">
      <w:pPr>
        <w:tabs>
          <w:tab w:val="left" w:pos="3855"/>
        </w:tabs>
        <w:spacing w:line="360" w:lineRule="auto"/>
        <w:outlineLvl w:val="3"/>
        <w:rPr>
          <w:rFonts w:ascii="宋体" w:hAnsi="宋体" w:cs="宋体"/>
          <w:szCs w:val="21"/>
        </w:rPr>
      </w:pPr>
      <w:r>
        <w:rPr>
          <w:rFonts w:hint="eastAsia" w:ascii="宋体" w:hAnsi="宋体" w:cs="宋体"/>
          <w:szCs w:val="21"/>
        </w:rPr>
        <w:t>1.1.4.5缺陷责任期期限：</w:t>
      </w:r>
      <w:r>
        <w:rPr>
          <w:rFonts w:hint="eastAsia" w:ascii="宋体" w:hAnsi="宋体" w:cs="宋体"/>
          <w:szCs w:val="21"/>
          <w:u w:val="single"/>
        </w:rPr>
        <w:t>24个</w:t>
      </w:r>
      <w:r>
        <w:rPr>
          <w:rFonts w:hint="eastAsia" w:ascii="宋体" w:hAnsi="宋体" w:cs="宋体"/>
          <w:szCs w:val="21"/>
        </w:rPr>
        <w:fldChar w:fldCharType="begin"/>
      </w:r>
      <w:r>
        <w:rPr>
          <w:rFonts w:hint="eastAsia" w:ascii="宋体" w:hAnsi="宋体" w:cs="宋体"/>
          <w:szCs w:val="21"/>
        </w:rPr>
        <w:instrText xml:space="preserve"> AUTOTEXT  input428 \* MERGEFORMAT </w:instrText>
      </w:r>
      <w:r>
        <w:rPr>
          <w:rFonts w:hint="eastAsia" w:ascii="宋体" w:hAnsi="宋体" w:cs="宋体"/>
          <w:szCs w:val="21"/>
        </w:rPr>
        <w:fldChar w:fldCharType="end"/>
      </w:r>
      <w:r>
        <w:rPr>
          <w:rFonts w:hint="eastAsia" w:ascii="宋体" w:hAnsi="宋体" w:cs="宋体"/>
          <w:szCs w:val="21"/>
        </w:rPr>
        <w:t>月。</w:t>
      </w:r>
    </w:p>
    <w:p w14:paraId="19C695C9">
      <w:pPr>
        <w:tabs>
          <w:tab w:val="left" w:pos="3855"/>
        </w:tabs>
        <w:spacing w:line="360" w:lineRule="auto"/>
        <w:outlineLvl w:val="2"/>
        <w:rPr>
          <w:rFonts w:ascii="宋体" w:hAnsi="宋体" w:cs="宋体"/>
          <w:szCs w:val="21"/>
        </w:rPr>
      </w:pPr>
      <w:r>
        <w:rPr>
          <w:rFonts w:hint="eastAsia" w:ascii="宋体" w:hAnsi="宋体" w:cs="宋体"/>
          <w:szCs w:val="21"/>
        </w:rPr>
        <w:t>1.1.8其他需要补充的内容</w:t>
      </w:r>
    </w:p>
    <w:p w14:paraId="726D0B18">
      <w:pPr>
        <w:tabs>
          <w:tab w:val="left" w:pos="3855"/>
        </w:tabs>
        <w:spacing w:line="360" w:lineRule="auto"/>
        <w:rPr>
          <w:rFonts w:ascii="宋体" w:hAnsi="宋体" w:cs="宋体"/>
          <w:szCs w:val="21"/>
        </w:rPr>
      </w:pPr>
      <w:r>
        <w:rPr>
          <w:rFonts w:hint="eastAsia" w:ascii="宋体" w:hAnsi="宋体" w:cs="宋体"/>
          <w:szCs w:val="21"/>
          <w:u w:val="single"/>
        </w:rPr>
        <w:t>/</w:t>
      </w:r>
    </w:p>
    <w:p w14:paraId="5C4F9812">
      <w:pPr>
        <w:tabs>
          <w:tab w:val="left" w:pos="3855"/>
        </w:tabs>
        <w:spacing w:line="360" w:lineRule="auto"/>
        <w:outlineLvl w:val="1"/>
        <w:rPr>
          <w:rFonts w:ascii="宋体" w:hAnsi="宋体" w:cs="宋体"/>
          <w:szCs w:val="21"/>
        </w:rPr>
      </w:pPr>
      <w:r>
        <w:rPr>
          <w:rFonts w:hint="eastAsia" w:ascii="宋体" w:hAnsi="宋体" w:cs="宋体"/>
          <w:szCs w:val="21"/>
        </w:rPr>
        <w:t>1.4合同文件的优先顺序</w:t>
      </w:r>
    </w:p>
    <w:p w14:paraId="7489CA38">
      <w:pPr>
        <w:tabs>
          <w:tab w:val="left" w:pos="3855"/>
        </w:tabs>
        <w:spacing w:line="360" w:lineRule="auto"/>
        <w:rPr>
          <w:rFonts w:ascii="宋体" w:hAnsi="宋体" w:cs="宋体"/>
          <w:szCs w:val="21"/>
        </w:rPr>
      </w:pPr>
      <w:r>
        <w:rPr>
          <w:rFonts w:hint="eastAsia" w:ascii="宋体" w:hAnsi="宋体" w:cs="宋体"/>
          <w:szCs w:val="21"/>
        </w:rPr>
        <w:t>合同文件的优先解释顺序如下：</w:t>
      </w:r>
    </w:p>
    <w:p w14:paraId="651FC4D2">
      <w:pPr>
        <w:tabs>
          <w:tab w:val="left" w:pos="3855"/>
        </w:tabs>
        <w:spacing w:line="360" w:lineRule="auto"/>
        <w:rPr>
          <w:rFonts w:ascii="宋体" w:hAnsi="宋体" w:cs="宋体"/>
          <w:szCs w:val="21"/>
        </w:rPr>
      </w:pPr>
      <w:r>
        <w:rPr>
          <w:rFonts w:hint="eastAsia" w:ascii="宋体" w:hAnsi="宋体" w:cs="宋体"/>
          <w:szCs w:val="21"/>
        </w:rPr>
        <w:t>(1)合同协议书；</w:t>
      </w:r>
    </w:p>
    <w:p w14:paraId="0ECE9D82">
      <w:pPr>
        <w:tabs>
          <w:tab w:val="left" w:pos="3855"/>
        </w:tabs>
        <w:spacing w:line="360" w:lineRule="auto"/>
        <w:rPr>
          <w:rFonts w:ascii="宋体" w:hAnsi="宋体" w:cs="宋体"/>
          <w:szCs w:val="21"/>
        </w:rPr>
      </w:pPr>
      <w:r>
        <w:rPr>
          <w:rFonts w:hint="eastAsia" w:ascii="宋体" w:hAnsi="宋体" w:cs="宋体"/>
          <w:szCs w:val="21"/>
        </w:rPr>
        <w:t>(2)中标通知书；</w:t>
      </w:r>
    </w:p>
    <w:p w14:paraId="277D4950">
      <w:pPr>
        <w:tabs>
          <w:tab w:val="left" w:pos="3855"/>
        </w:tabs>
        <w:spacing w:line="360" w:lineRule="auto"/>
        <w:rPr>
          <w:rFonts w:ascii="宋体" w:hAnsi="宋体" w:cs="宋体"/>
          <w:szCs w:val="21"/>
        </w:rPr>
      </w:pPr>
      <w:r>
        <w:rPr>
          <w:rFonts w:hint="eastAsia" w:ascii="宋体" w:hAnsi="宋体" w:cs="宋体"/>
          <w:szCs w:val="21"/>
        </w:rPr>
        <w:t>(3)响应书及报价一览表；</w:t>
      </w:r>
    </w:p>
    <w:p w14:paraId="0C7247AD">
      <w:pPr>
        <w:tabs>
          <w:tab w:val="left" w:pos="3855"/>
        </w:tabs>
        <w:spacing w:line="360" w:lineRule="auto"/>
        <w:rPr>
          <w:rFonts w:ascii="宋体" w:hAnsi="宋体" w:cs="宋体"/>
          <w:szCs w:val="21"/>
        </w:rPr>
      </w:pPr>
      <w:r>
        <w:rPr>
          <w:rFonts w:hint="eastAsia" w:ascii="宋体" w:hAnsi="宋体" w:cs="宋体"/>
          <w:szCs w:val="21"/>
        </w:rPr>
        <w:t>(4)合同条款专用部分；</w:t>
      </w:r>
    </w:p>
    <w:p w14:paraId="17346183">
      <w:pPr>
        <w:tabs>
          <w:tab w:val="left" w:pos="3855"/>
        </w:tabs>
        <w:spacing w:line="360" w:lineRule="auto"/>
        <w:rPr>
          <w:rFonts w:ascii="宋体" w:hAnsi="宋体" w:cs="宋体"/>
          <w:szCs w:val="21"/>
        </w:rPr>
      </w:pPr>
      <w:r>
        <w:rPr>
          <w:rFonts w:hint="eastAsia" w:ascii="宋体" w:hAnsi="宋体" w:cs="宋体"/>
          <w:szCs w:val="21"/>
        </w:rPr>
        <w:t>(5)合同条款通用部分；</w:t>
      </w:r>
    </w:p>
    <w:p w14:paraId="4F8D91C4">
      <w:pPr>
        <w:tabs>
          <w:tab w:val="left" w:pos="3855"/>
        </w:tabs>
        <w:spacing w:line="360" w:lineRule="auto"/>
        <w:rPr>
          <w:rFonts w:ascii="宋体" w:hAnsi="宋体" w:cs="宋体"/>
          <w:szCs w:val="21"/>
        </w:rPr>
      </w:pPr>
      <w:r>
        <w:rPr>
          <w:rFonts w:hint="eastAsia" w:ascii="宋体" w:hAnsi="宋体" w:cs="宋体"/>
          <w:szCs w:val="21"/>
        </w:rPr>
        <w:t>(6)</w:t>
      </w:r>
      <w:r>
        <w:rPr>
          <w:rFonts w:hint="eastAsia" w:ascii="宋体" w:hAnsi="宋体" w:cs="宋体"/>
          <w:szCs w:val="21"/>
          <w:u w:val="single"/>
        </w:rPr>
        <w:t>图纸；</w:t>
      </w:r>
      <w:r>
        <w:rPr>
          <w:rFonts w:hint="eastAsia" w:ascii="宋体" w:hAnsi="宋体" w:cs="宋体"/>
          <w:szCs w:val="21"/>
        </w:rPr>
        <w:fldChar w:fldCharType="begin"/>
      </w:r>
      <w:r>
        <w:rPr>
          <w:rFonts w:hint="eastAsia" w:ascii="宋体" w:hAnsi="宋体" w:cs="宋体"/>
          <w:szCs w:val="21"/>
        </w:rPr>
        <w:instrText xml:space="preserve"> AUTOTEXT  input429 \* MERGEFORMAT </w:instrText>
      </w:r>
      <w:r>
        <w:rPr>
          <w:rFonts w:hint="eastAsia" w:ascii="宋体" w:hAnsi="宋体" w:cs="宋体"/>
          <w:szCs w:val="21"/>
        </w:rPr>
        <w:fldChar w:fldCharType="end"/>
      </w:r>
    </w:p>
    <w:p w14:paraId="051DE85E">
      <w:pPr>
        <w:tabs>
          <w:tab w:val="left" w:pos="3855"/>
        </w:tabs>
        <w:spacing w:line="360" w:lineRule="auto"/>
        <w:rPr>
          <w:rFonts w:ascii="宋体" w:hAnsi="宋体" w:cs="宋体"/>
          <w:szCs w:val="21"/>
        </w:rPr>
      </w:pPr>
      <w:r>
        <w:rPr>
          <w:rFonts w:hint="eastAsia" w:ascii="宋体" w:hAnsi="宋体" w:cs="宋体"/>
          <w:szCs w:val="21"/>
        </w:rPr>
        <w:t>(7)</w:t>
      </w:r>
      <w:r>
        <w:rPr>
          <w:rFonts w:hint="eastAsia" w:ascii="宋体" w:hAnsi="宋体" w:cs="宋体"/>
          <w:szCs w:val="21"/>
          <w:u w:val="single"/>
        </w:rPr>
        <w:t>已标价工程量清单；</w:t>
      </w:r>
      <w:r>
        <w:rPr>
          <w:rFonts w:hint="eastAsia" w:ascii="宋体" w:hAnsi="宋体" w:cs="宋体"/>
          <w:szCs w:val="21"/>
        </w:rPr>
        <w:fldChar w:fldCharType="begin"/>
      </w:r>
      <w:r>
        <w:rPr>
          <w:rFonts w:hint="eastAsia" w:ascii="宋体" w:hAnsi="宋体" w:cs="宋体"/>
          <w:szCs w:val="21"/>
        </w:rPr>
        <w:instrText xml:space="preserve"> AUTOTEXT  input430 \* MERGEFORMAT </w:instrText>
      </w:r>
      <w:r>
        <w:rPr>
          <w:rFonts w:hint="eastAsia" w:ascii="宋体" w:hAnsi="宋体" w:cs="宋体"/>
          <w:szCs w:val="21"/>
        </w:rPr>
        <w:fldChar w:fldCharType="end"/>
      </w:r>
    </w:p>
    <w:p w14:paraId="676821A8">
      <w:pPr>
        <w:tabs>
          <w:tab w:val="left" w:pos="3855"/>
        </w:tabs>
        <w:spacing w:line="360" w:lineRule="auto"/>
        <w:rPr>
          <w:rFonts w:ascii="宋体" w:hAnsi="宋体" w:cs="宋体"/>
          <w:szCs w:val="21"/>
        </w:rPr>
      </w:pPr>
      <w:r>
        <w:rPr>
          <w:rFonts w:hint="eastAsia" w:ascii="宋体" w:hAnsi="宋体" w:cs="宋体"/>
          <w:szCs w:val="21"/>
        </w:rPr>
        <w:t>(8)</w:t>
      </w:r>
      <w:r>
        <w:rPr>
          <w:rFonts w:hint="eastAsia" w:ascii="宋体" w:hAnsi="宋体" w:cs="宋体"/>
          <w:szCs w:val="21"/>
          <w:u w:val="single"/>
        </w:rPr>
        <w:t>技术标准和要求；</w:t>
      </w:r>
      <w:r>
        <w:rPr>
          <w:rFonts w:hint="eastAsia" w:ascii="宋体" w:hAnsi="宋体" w:cs="宋体"/>
          <w:szCs w:val="21"/>
        </w:rPr>
        <w:fldChar w:fldCharType="begin"/>
      </w:r>
      <w:r>
        <w:rPr>
          <w:rFonts w:hint="eastAsia" w:ascii="宋体" w:hAnsi="宋体" w:cs="宋体"/>
          <w:szCs w:val="21"/>
        </w:rPr>
        <w:instrText xml:space="preserve"> AUTOTEXT  input431 \* MERGEFORMAT </w:instrText>
      </w:r>
      <w:r>
        <w:rPr>
          <w:rFonts w:hint="eastAsia" w:ascii="宋体" w:hAnsi="宋体" w:cs="宋体"/>
          <w:szCs w:val="21"/>
        </w:rPr>
        <w:fldChar w:fldCharType="end"/>
      </w:r>
    </w:p>
    <w:p w14:paraId="092C0F39">
      <w:pPr>
        <w:tabs>
          <w:tab w:val="left" w:pos="3855"/>
        </w:tabs>
        <w:spacing w:line="360" w:lineRule="auto"/>
        <w:rPr>
          <w:rFonts w:ascii="宋体" w:hAnsi="宋体" w:cs="宋体"/>
          <w:szCs w:val="21"/>
        </w:rPr>
      </w:pPr>
      <w:r>
        <w:rPr>
          <w:rFonts w:hint="eastAsia" w:ascii="宋体" w:hAnsi="宋体" w:cs="宋体"/>
          <w:szCs w:val="21"/>
        </w:rPr>
        <w:t>(9)</w:t>
      </w:r>
      <w:r>
        <w:rPr>
          <w:rFonts w:hint="eastAsia" w:ascii="宋体" w:hAnsi="宋体" w:cs="宋体"/>
          <w:szCs w:val="21"/>
          <w:u w:val="single"/>
        </w:rPr>
        <w:t>补充协议、会议纪要、备忘录、双方往来函件等；</w:t>
      </w:r>
    </w:p>
    <w:p w14:paraId="20E01D20">
      <w:pPr>
        <w:tabs>
          <w:tab w:val="left" w:pos="3855"/>
        </w:tabs>
        <w:spacing w:line="360" w:lineRule="auto"/>
        <w:rPr>
          <w:rFonts w:ascii="宋体" w:hAnsi="宋体" w:cs="宋体"/>
          <w:szCs w:val="21"/>
        </w:rPr>
      </w:pPr>
      <w:r>
        <w:rPr>
          <w:rFonts w:hint="eastAsia" w:ascii="宋体" w:hAnsi="宋体" w:cs="宋体"/>
          <w:szCs w:val="21"/>
        </w:rPr>
        <w:t>（10）</w:t>
      </w:r>
      <w:r>
        <w:rPr>
          <w:rFonts w:hint="eastAsia" w:ascii="宋体" w:hAnsi="宋体" w:cs="宋体"/>
          <w:szCs w:val="21"/>
          <w:u w:val="single"/>
        </w:rPr>
        <w:t>响应文件。</w:t>
      </w:r>
      <w:r>
        <w:rPr>
          <w:rFonts w:hint="eastAsia" w:ascii="宋体" w:hAnsi="宋体" w:cs="宋体"/>
          <w:szCs w:val="21"/>
        </w:rPr>
        <w:t xml:space="preserve"> </w:t>
      </w:r>
      <w:r>
        <w:rPr>
          <w:rFonts w:hint="eastAsia" w:ascii="宋体" w:hAnsi="宋体" w:cs="宋体"/>
          <w:szCs w:val="21"/>
        </w:rPr>
        <w:fldChar w:fldCharType="begin"/>
      </w:r>
      <w:r>
        <w:rPr>
          <w:rFonts w:hint="eastAsia" w:ascii="宋体" w:hAnsi="宋体" w:cs="宋体"/>
          <w:szCs w:val="21"/>
        </w:rPr>
        <w:instrText xml:space="preserve"> AUTOTEXT  input432 \* MERGEFORMAT </w:instrText>
      </w:r>
      <w:r>
        <w:rPr>
          <w:rFonts w:hint="eastAsia" w:ascii="宋体" w:hAnsi="宋体" w:cs="宋体"/>
          <w:szCs w:val="21"/>
        </w:rPr>
        <w:fldChar w:fldCharType="end"/>
      </w:r>
    </w:p>
    <w:p w14:paraId="50CA081A">
      <w:pPr>
        <w:tabs>
          <w:tab w:val="left" w:pos="3855"/>
        </w:tabs>
        <w:spacing w:line="360" w:lineRule="auto"/>
        <w:rPr>
          <w:rFonts w:ascii="宋体" w:hAnsi="宋体" w:cs="宋体"/>
          <w:szCs w:val="21"/>
        </w:rPr>
      </w:pPr>
      <w:r>
        <w:rPr>
          <w:rFonts w:hint="eastAsia" w:ascii="宋体" w:hAnsi="宋体" w:cs="宋体"/>
          <w:szCs w:val="21"/>
        </w:rPr>
        <w:t>（说明：(6)、(7)、(8)填空内容分别限于技术标准和要求、图纸、已标价工程量清单三者之一。）</w:t>
      </w:r>
    </w:p>
    <w:p w14:paraId="71A59F1D">
      <w:pPr>
        <w:tabs>
          <w:tab w:val="left" w:pos="3855"/>
        </w:tabs>
        <w:spacing w:line="360" w:lineRule="auto"/>
        <w:outlineLvl w:val="1"/>
        <w:rPr>
          <w:rFonts w:ascii="宋体" w:hAnsi="宋体" w:cs="宋体"/>
          <w:szCs w:val="21"/>
        </w:rPr>
      </w:pPr>
      <w:r>
        <w:rPr>
          <w:rFonts w:hint="eastAsia" w:ascii="宋体" w:hAnsi="宋体" w:cs="宋体"/>
          <w:szCs w:val="21"/>
        </w:rPr>
        <w:t>1.5合同协议书</w:t>
      </w:r>
    </w:p>
    <w:p w14:paraId="79D61B49">
      <w:pPr>
        <w:tabs>
          <w:tab w:val="left" w:pos="3855"/>
        </w:tabs>
        <w:spacing w:line="360" w:lineRule="auto"/>
        <w:rPr>
          <w:rFonts w:ascii="宋体" w:hAnsi="宋体" w:cs="宋体"/>
          <w:szCs w:val="21"/>
        </w:rPr>
      </w:pPr>
      <w:r>
        <w:rPr>
          <w:rFonts w:hint="eastAsia" w:ascii="宋体" w:hAnsi="宋体" w:cs="宋体"/>
          <w:szCs w:val="21"/>
        </w:rPr>
        <w:t>合同生效的条件：</w:t>
      </w:r>
      <w:r>
        <w:rPr>
          <w:rFonts w:hint="eastAsia" w:ascii="宋体" w:hAnsi="宋体" w:cs="宋体"/>
          <w:szCs w:val="21"/>
          <w:u w:val="single"/>
        </w:rPr>
        <w:t>双方签字盖章后生效。</w:t>
      </w:r>
      <w:r>
        <w:rPr>
          <w:rFonts w:hint="eastAsia" w:ascii="宋体" w:hAnsi="宋体" w:cs="宋体"/>
          <w:szCs w:val="21"/>
        </w:rPr>
        <w:fldChar w:fldCharType="begin"/>
      </w:r>
      <w:r>
        <w:rPr>
          <w:rFonts w:hint="eastAsia" w:ascii="宋体" w:hAnsi="宋体" w:cs="宋体"/>
          <w:szCs w:val="21"/>
        </w:rPr>
        <w:instrText xml:space="preserve"> AUTOTEXT  input433 \* MERGEFORMAT </w:instrText>
      </w:r>
      <w:r>
        <w:rPr>
          <w:rFonts w:hint="eastAsia" w:ascii="宋体" w:hAnsi="宋体" w:cs="宋体"/>
          <w:szCs w:val="21"/>
        </w:rPr>
        <w:fldChar w:fldCharType="end"/>
      </w:r>
    </w:p>
    <w:p w14:paraId="25E1B42F">
      <w:pPr>
        <w:tabs>
          <w:tab w:val="left" w:pos="3855"/>
        </w:tabs>
        <w:spacing w:line="360" w:lineRule="auto"/>
        <w:outlineLvl w:val="1"/>
        <w:rPr>
          <w:rFonts w:ascii="宋体" w:hAnsi="宋体" w:cs="宋体"/>
          <w:szCs w:val="21"/>
        </w:rPr>
      </w:pPr>
      <w:r>
        <w:rPr>
          <w:rFonts w:hint="eastAsia" w:ascii="宋体" w:hAnsi="宋体" w:cs="宋体"/>
          <w:szCs w:val="21"/>
        </w:rPr>
        <w:t>1.6图纸和承包人文件</w:t>
      </w:r>
    </w:p>
    <w:p w14:paraId="5ECA41DE">
      <w:pPr>
        <w:tabs>
          <w:tab w:val="left" w:pos="3855"/>
        </w:tabs>
        <w:spacing w:line="360" w:lineRule="auto"/>
        <w:outlineLvl w:val="2"/>
        <w:rPr>
          <w:rFonts w:ascii="宋体" w:hAnsi="宋体" w:cs="宋体"/>
          <w:szCs w:val="21"/>
        </w:rPr>
      </w:pPr>
      <w:r>
        <w:rPr>
          <w:rFonts w:hint="eastAsia" w:ascii="宋体" w:hAnsi="宋体" w:cs="宋体"/>
          <w:szCs w:val="21"/>
        </w:rPr>
        <w:t>1.6.1图纸的提供</w:t>
      </w:r>
    </w:p>
    <w:p w14:paraId="104DD6D7">
      <w:pPr>
        <w:tabs>
          <w:tab w:val="left" w:pos="3855"/>
        </w:tabs>
        <w:spacing w:line="360" w:lineRule="auto"/>
        <w:rPr>
          <w:rFonts w:ascii="宋体" w:hAnsi="宋体" w:cs="宋体"/>
          <w:szCs w:val="21"/>
        </w:rPr>
      </w:pPr>
      <w:r>
        <w:rPr>
          <w:rFonts w:hint="eastAsia" w:ascii="宋体" w:hAnsi="宋体" w:cs="宋体"/>
          <w:szCs w:val="21"/>
        </w:rPr>
        <w:t>(5)发包人提供图纸的期限：</w:t>
      </w:r>
      <w:r>
        <w:rPr>
          <w:rFonts w:hint="eastAsia" w:ascii="宋体" w:hAnsi="宋体" w:cs="宋体"/>
          <w:szCs w:val="21"/>
          <w:u w:val="single"/>
        </w:rPr>
        <w:t>/。</w:t>
      </w:r>
      <w:r>
        <w:rPr>
          <w:rFonts w:hint="eastAsia" w:ascii="宋体" w:hAnsi="宋体" w:cs="宋体"/>
          <w:szCs w:val="21"/>
        </w:rPr>
        <w:t>发包人提供图纸的数量：</w:t>
      </w:r>
      <w:r>
        <w:rPr>
          <w:rFonts w:ascii="宋体" w:hAnsi="宋体" w:cs="宋体"/>
          <w:szCs w:val="21"/>
          <w:u w:val="single"/>
        </w:rPr>
        <w:t>/</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input435 \* MERGEFORMAT </w:instrText>
      </w:r>
      <w:r>
        <w:rPr>
          <w:rFonts w:hint="eastAsia" w:ascii="宋体" w:hAnsi="宋体" w:cs="宋体"/>
          <w:szCs w:val="21"/>
        </w:rPr>
        <w:fldChar w:fldCharType="end"/>
      </w:r>
    </w:p>
    <w:p w14:paraId="1537ACE2">
      <w:pPr>
        <w:tabs>
          <w:tab w:val="left" w:pos="3855"/>
        </w:tabs>
        <w:spacing w:line="360" w:lineRule="auto"/>
        <w:rPr>
          <w:rFonts w:ascii="宋体" w:hAnsi="宋体" w:cs="宋体"/>
          <w:szCs w:val="21"/>
        </w:rPr>
      </w:pPr>
      <w:r>
        <w:rPr>
          <w:rFonts w:hint="eastAsia" w:ascii="宋体" w:hAnsi="宋体" w:cs="宋体"/>
          <w:szCs w:val="21"/>
        </w:rPr>
        <w:t>其他约定：</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input836 \* MERGEFORMAT </w:instrText>
      </w:r>
      <w:r>
        <w:rPr>
          <w:rFonts w:hint="eastAsia" w:ascii="宋体" w:hAnsi="宋体" w:cs="宋体"/>
          <w:szCs w:val="21"/>
        </w:rPr>
        <w:fldChar w:fldCharType="end"/>
      </w:r>
    </w:p>
    <w:p w14:paraId="13F0051D">
      <w:pPr>
        <w:tabs>
          <w:tab w:val="left" w:pos="3855"/>
        </w:tabs>
        <w:spacing w:line="360" w:lineRule="auto"/>
        <w:outlineLvl w:val="2"/>
        <w:rPr>
          <w:rFonts w:ascii="宋体" w:hAnsi="宋体" w:cs="宋体"/>
          <w:szCs w:val="21"/>
        </w:rPr>
      </w:pPr>
      <w:r>
        <w:rPr>
          <w:rFonts w:hint="eastAsia" w:ascii="宋体" w:hAnsi="宋体" w:cs="宋体"/>
          <w:szCs w:val="21"/>
        </w:rPr>
        <w:t>1.6.2承包人提供的文件</w:t>
      </w:r>
    </w:p>
    <w:p w14:paraId="7A00E70C">
      <w:pPr>
        <w:tabs>
          <w:tab w:val="left" w:pos="3855"/>
        </w:tabs>
        <w:spacing w:line="360" w:lineRule="auto"/>
        <w:rPr>
          <w:rFonts w:ascii="宋体" w:hAnsi="宋体" w:cs="宋体"/>
          <w:szCs w:val="21"/>
        </w:rPr>
      </w:pPr>
      <w:r>
        <w:rPr>
          <w:rFonts w:hint="eastAsia" w:ascii="宋体" w:hAnsi="宋体" w:cs="宋体"/>
          <w:szCs w:val="21"/>
        </w:rPr>
        <w:t>(1)由承包人提供的文件范围：</w:t>
      </w:r>
      <w:r>
        <w:rPr>
          <w:rFonts w:hint="eastAsia" w:ascii="宋体" w:hAnsi="宋体" w:cs="宋体"/>
          <w:szCs w:val="21"/>
          <w:u w:val="single"/>
        </w:rPr>
        <w:t>每两周统计报表及下周计划报表。</w:t>
      </w:r>
      <w:r>
        <w:rPr>
          <w:rFonts w:hint="eastAsia" w:ascii="宋体" w:hAnsi="宋体" w:cs="宋体"/>
          <w:szCs w:val="21"/>
        </w:rPr>
        <w:fldChar w:fldCharType="begin"/>
      </w:r>
      <w:r>
        <w:rPr>
          <w:rFonts w:hint="eastAsia" w:ascii="宋体" w:hAnsi="宋体" w:cs="宋体"/>
          <w:szCs w:val="21"/>
        </w:rPr>
        <w:instrText xml:space="preserve"> AUTOTEXT  input436 \* MERGEFORMAT </w:instrText>
      </w:r>
      <w:r>
        <w:rPr>
          <w:rFonts w:hint="eastAsia" w:ascii="宋体" w:hAnsi="宋体" w:cs="宋体"/>
          <w:szCs w:val="21"/>
        </w:rPr>
        <w:fldChar w:fldCharType="end"/>
      </w:r>
    </w:p>
    <w:p w14:paraId="0FACBC6F">
      <w:pPr>
        <w:tabs>
          <w:tab w:val="left" w:pos="3855"/>
        </w:tabs>
        <w:spacing w:line="360" w:lineRule="auto"/>
        <w:rPr>
          <w:rFonts w:ascii="宋体" w:hAnsi="宋体" w:cs="宋体"/>
          <w:szCs w:val="21"/>
        </w:rPr>
      </w:pPr>
      <w:r>
        <w:rPr>
          <w:rFonts w:hint="eastAsia" w:ascii="宋体" w:hAnsi="宋体" w:cs="宋体"/>
          <w:szCs w:val="21"/>
        </w:rPr>
        <w:t>承包人提供文件的期限：</w:t>
      </w:r>
      <w:r>
        <w:rPr>
          <w:rFonts w:hint="eastAsia" w:ascii="宋体" w:hAnsi="宋体" w:cs="宋体"/>
          <w:szCs w:val="21"/>
          <w:u w:val="single"/>
        </w:rPr>
        <w:t>本合同签订后3日内，应按监理工程师要求，向监理提交一份完整的工程进度计划，每两周统计报表及下周计划报表。</w:t>
      </w:r>
      <w:r>
        <w:rPr>
          <w:rFonts w:hint="eastAsia" w:ascii="宋体" w:hAnsi="宋体" w:cs="宋体"/>
          <w:szCs w:val="21"/>
        </w:rPr>
        <w:fldChar w:fldCharType="begin"/>
      </w:r>
      <w:r>
        <w:rPr>
          <w:rFonts w:hint="eastAsia" w:ascii="宋体" w:hAnsi="宋体" w:cs="宋体"/>
          <w:szCs w:val="21"/>
        </w:rPr>
        <w:instrText xml:space="preserve"> AUTOTEXT  input437 \* MERGEFORMAT </w:instrText>
      </w:r>
      <w:r>
        <w:rPr>
          <w:rFonts w:hint="eastAsia" w:ascii="宋体" w:hAnsi="宋体" w:cs="宋体"/>
          <w:szCs w:val="21"/>
        </w:rPr>
        <w:fldChar w:fldCharType="end"/>
      </w:r>
    </w:p>
    <w:p w14:paraId="70C5B893">
      <w:pPr>
        <w:tabs>
          <w:tab w:val="left" w:pos="3855"/>
        </w:tabs>
        <w:spacing w:line="360" w:lineRule="auto"/>
        <w:rPr>
          <w:rFonts w:ascii="宋体" w:hAnsi="宋体" w:cs="宋体"/>
          <w:szCs w:val="21"/>
        </w:rPr>
      </w:pPr>
      <w:r>
        <w:rPr>
          <w:rFonts w:hint="eastAsia" w:ascii="宋体" w:hAnsi="宋体" w:cs="宋体"/>
          <w:szCs w:val="21"/>
        </w:rPr>
        <w:t>承包人提供文件的数量：</w:t>
      </w:r>
      <w:r>
        <w:rPr>
          <w:rFonts w:hint="eastAsia" w:ascii="宋体" w:hAnsi="宋体" w:cs="宋体"/>
          <w:szCs w:val="21"/>
          <w:u w:val="single"/>
        </w:rPr>
        <w:t>2套。</w:t>
      </w:r>
      <w:r>
        <w:rPr>
          <w:rFonts w:hint="eastAsia" w:ascii="宋体" w:hAnsi="宋体" w:cs="宋体"/>
          <w:szCs w:val="21"/>
        </w:rPr>
        <w:fldChar w:fldCharType="begin"/>
      </w:r>
      <w:r>
        <w:rPr>
          <w:rFonts w:hint="eastAsia" w:ascii="宋体" w:hAnsi="宋体" w:cs="宋体"/>
          <w:szCs w:val="21"/>
        </w:rPr>
        <w:instrText xml:space="preserve"> AUTOTEXT  input438 \* MERGEFORMAT </w:instrText>
      </w:r>
      <w:r>
        <w:rPr>
          <w:rFonts w:hint="eastAsia" w:ascii="宋体" w:hAnsi="宋体" w:cs="宋体"/>
          <w:szCs w:val="21"/>
        </w:rPr>
        <w:fldChar w:fldCharType="end"/>
      </w:r>
    </w:p>
    <w:p w14:paraId="6C46DFD4">
      <w:pPr>
        <w:tabs>
          <w:tab w:val="left" w:pos="3855"/>
        </w:tabs>
        <w:spacing w:line="360" w:lineRule="auto"/>
        <w:rPr>
          <w:rFonts w:ascii="宋体" w:hAnsi="宋体" w:cs="宋体"/>
          <w:szCs w:val="21"/>
        </w:rPr>
      </w:pPr>
      <w:r>
        <w:rPr>
          <w:rFonts w:hint="eastAsia" w:ascii="宋体" w:hAnsi="宋体" w:cs="宋体"/>
          <w:szCs w:val="21"/>
        </w:rPr>
        <w:t>监理人批复承包人提供文件的期限：</w:t>
      </w:r>
      <w:r>
        <w:rPr>
          <w:rFonts w:hint="eastAsia" w:ascii="宋体" w:hAnsi="宋体" w:cs="宋体"/>
          <w:szCs w:val="21"/>
          <w:u w:val="single"/>
        </w:rPr>
        <w:t>收到承包人提供的文件后14天。</w:t>
      </w:r>
      <w:r>
        <w:rPr>
          <w:rFonts w:hint="eastAsia" w:ascii="宋体" w:hAnsi="宋体" w:cs="宋体"/>
          <w:szCs w:val="21"/>
        </w:rPr>
        <w:fldChar w:fldCharType="begin"/>
      </w:r>
      <w:r>
        <w:rPr>
          <w:rFonts w:hint="eastAsia" w:ascii="宋体" w:hAnsi="宋体" w:cs="宋体"/>
          <w:szCs w:val="21"/>
        </w:rPr>
        <w:instrText xml:space="preserve"> AUTOTEXT  input439 \* MERGEFORMAT </w:instrText>
      </w:r>
      <w:r>
        <w:rPr>
          <w:rFonts w:hint="eastAsia" w:ascii="宋体" w:hAnsi="宋体" w:cs="宋体"/>
          <w:szCs w:val="21"/>
        </w:rPr>
        <w:fldChar w:fldCharType="end"/>
      </w:r>
    </w:p>
    <w:p w14:paraId="7605AEBD">
      <w:pPr>
        <w:tabs>
          <w:tab w:val="left" w:pos="3855"/>
        </w:tabs>
        <w:spacing w:line="360" w:lineRule="auto"/>
        <w:rPr>
          <w:rFonts w:ascii="宋体" w:hAnsi="宋体" w:cs="宋体"/>
          <w:szCs w:val="21"/>
        </w:rPr>
      </w:pPr>
      <w:r>
        <w:rPr>
          <w:rFonts w:hint="eastAsia" w:ascii="宋体" w:hAnsi="宋体" w:cs="宋体"/>
          <w:szCs w:val="21"/>
        </w:rPr>
        <w:t>其他约定：</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input440 \* MERGEFORMAT </w:instrText>
      </w:r>
      <w:r>
        <w:rPr>
          <w:rFonts w:hint="eastAsia" w:ascii="宋体" w:hAnsi="宋体" w:cs="宋体"/>
          <w:szCs w:val="21"/>
        </w:rPr>
        <w:fldChar w:fldCharType="end"/>
      </w:r>
    </w:p>
    <w:p w14:paraId="530D8A0F">
      <w:pPr>
        <w:tabs>
          <w:tab w:val="left" w:pos="3855"/>
        </w:tabs>
        <w:spacing w:line="360" w:lineRule="auto"/>
        <w:outlineLvl w:val="1"/>
        <w:rPr>
          <w:rFonts w:ascii="宋体" w:hAnsi="宋体" w:cs="宋体"/>
          <w:szCs w:val="21"/>
        </w:rPr>
      </w:pPr>
      <w:r>
        <w:rPr>
          <w:rFonts w:hint="eastAsia" w:ascii="宋体" w:hAnsi="宋体" w:cs="宋体"/>
          <w:szCs w:val="21"/>
        </w:rPr>
        <w:t>1.7联络</w:t>
      </w:r>
    </w:p>
    <w:p w14:paraId="497655F6">
      <w:pPr>
        <w:tabs>
          <w:tab w:val="left" w:pos="3855"/>
        </w:tabs>
        <w:spacing w:line="360" w:lineRule="auto"/>
        <w:outlineLvl w:val="2"/>
        <w:rPr>
          <w:rFonts w:ascii="宋体" w:hAnsi="宋体" w:cs="宋体"/>
          <w:szCs w:val="21"/>
        </w:rPr>
      </w:pPr>
      <w:r>
        <w:rPr>
          <w:rFonts w:hint="eastAsia" w:ascii="宋体" w:hAnsi="宋体" w:cs="宋体"/>
          <w:szCs w:val="21"/>
        </w:rPr>
        <w:t>1.7.2联络来往函件的送达和接收</w:t>
      </w:r>
    </w:p>
    <w:p w14:paraId="5BCCA983">
      <w:pPr>
        <w:tabs>
          <w:tab w:val="left" w:pos="3855"/>
        </w:tabs>
        <w:spacing w:line="360" w:lineRule="auto"/>
        <w:rPr>
          <w:rFonts w:ascii="宋体" w:hAnsi="宋体" w:cs="宋体"/>
          <w:szCs w:val="21"/>
        </w:rPr>
      </w:pPr>
      <w:r>
        <w:rPr>
          <w:rFonts w:hint="eastAsia" w:ascii="宋体" w:hAnsi="宋体" w:cs="宋体"/>
          <w:szCs w:val="21"/>
        </w:rPr>
        <w:t>(2)发包人指定的接收地点：</w:t>
      </w:r>
      <w:r>
        <w:rPr>
          <w:rFonts w:hint="eastAsia" w:ascii="宋体" w:hAnsi="宋体" w:cs="宋体"/>
          <w:szCs w:val="21"/>
          <w:u w:val="single"/>
        </w:rPr>
        <w:t>发包人指定地点</w:t>
      </w:r>
      <w:r>
        <w:rPr>
          <w:rFonts w:hint="eastAsia" w:ascii="宋体" w:hAnsi="宋体" w:cs="宋体"/>
          <w:szCs w:val="21"/>
        </w:rPr>
        <w:fldChar w:fldCharType="begin"/>
      </w:r>
      <w:r>
        <w:rPr>
          <w:rFonts w:hint="eastAsia" w:ascii="宋体" w:hAnsi="宋体" w:cs="宋体"/>
          <w:szCs w:val="21"/>
        </w:rPr>
        <w:instrText xml:space="preserve"> AUTOTEXT  input441 \* MERGEFORMAT </w:instrText>
      </w:r>
      <w:r>
        <w:rPr>
          <w:rFonts w:hint="eastAsia" w:ascii="宋体" w:hAnsi="宋体" w:cs="宋体"/>
          <w:szCs w:val="21"/>
        </w:rPr>
        <w:fldChar w:fldCharType="end"/>
      </w:r>
    </w:p>
    <w:p w14:paraId="558FFD0D">
      <w:pPr>
        <w:tabs>
          <w:tab w:val="left" w:pos="3855"/>
        </w:tabs>
        <w:spacing w:line="360" w:lineRule="auto"/>
        <w:rPr>
          <w:rFonts w:ascii="宋体" w:hAnsi="宋体" w:cs="宋体"/>
          <w:szCs w:val="21"/>
        </w:rPr>
      </w:pPr>
      <w:r>
        <w:rPr>
          <w:rFonts w:hint="eastAsia" w:ascii="宋体" w:hAnsi="宋体" w:cs="宋体"/>
          <w:szCs w:val="21"/>
        </w:rPr>
        <w:t>发包人指定的接收人为：</w:t>
      </w:r>
      <w:r>
        <w:rPr>
          <w:rFonts w:hint="eastAsia" w:ascii="宋体" w:hAnsi="宋体" w:cs="宋体"/>
          <w:szCs w:val="21"/>
          <w:u w:val="single"/>
        </w:rPr>
        <w:t>待定</w:t>
      </w:r>
      <w:r>
        <w:rPr>
          <w:rFonts w:hint="eastAsia" w:ascii="宋体" w:hAnsi="宋体" w:cs="宋体"/>
          <w:szCs w:val="21"/>
        </w:rPr>
        <w:fldChar w:fldCharType="begin"/>
      </w:r>
      <w:r>
        <w:rPr>
          <w:rFonts w:hint="eastAsia" w:ascii="宋体" w:hAnsi="宋体" w:cs="宋体"/>
          <w:szCs w:val="21"/>
        </w:rPr>
        <w:instrText xml:space="preserve"> AUTOTEXT  input442 \* MERGEFORMAT </w:instrText>
      </w:r>
      <w:r>
        <w:rPr>
          <w:rFonts w:hint="eastAsia" w:ascii="宋体" w:hAnsi="宋体" w:cs="宋体"/>
          <w:szCs w:val="21"/>
        </w:rPr>
        <w:fldChar w:fldCharType="end"/>
      </w:r>
    </w:p>
    <w:p w14:paraId="0FEBBC3C">
      <w:pPr>
        <w:tabs>
          <w:tab w:val="left" w:pos="3855"/>
        </w:tabs>
        <w:spacing w:line="360" w:lineRule="auto"/>
        <w:rPr>
          <w:rFonts w:ascii="宋体" w:hAnsi="宋体" w:cs="宋体"/>
          <w:szCs w:val="21"/>
        </w:rPr>
      </w:pPr>
      <w:r>
        <w:rPr>
          <w:rFonts w:hint="eastAsia" w:ascii="宋体" w:hAnsi="宋体" w:cs="宋体"/>
          <w:szCs w:val="21"/>
        </w:rPr>
        <w:t>(3)监理人指定的接收地点：</w:t>
      </w:r>
      <w:r>
        <w:rPr>
          <w:rFonts w:hint="eastAsia" w:ascii="宋体" w:hAnsi="宋体" w:cs="宋体"/>
          <w:szCs w:val="21"/>
          <w:u w:val="single"/>
        </w:rPr>
        <w:t>待定</w:t>
      </w:r>
      <w:r>
        <w:rPr>
          <w:rFonts w:hint="eastAsia" w:ascii="宋体" w:hAnsi="宋体" w:cs="宋体"/>
          <w:szCs w:val="21"/>
        </w:rPr>
        <w:fldChar w:fldCharType="begin"/>
      </w:r>
      <w:r>
        <w:rPr>
          <w:rFonts w:hint="eastAsia" w:ascii="宋体" w:hAnsi="宋体" w:cs="宋体"/>
          <w:szCs w:val="21"/>
        </w:rPr>
        <w:instrText xml:space="preserve"> AUTOTEXT  input443 \* MERGEFORMAT </w:instrText>
      </w:r>
      <w:r>
        <w:rPr>
          <w:rFonts w:hint="eastAsia" w:ascii="宋体" w:hAnsi="宋体" w:cs="宋体"/>
          <w:szCs w:val="21"/>
        </w:rPr>
        <w:fldChar w:fldCharType="end"/>
      </w:r>
    </w:p>
    <w:p w14:paraId="61A0FB79">
      <w:pPr>
        <w:tabs>
          <w:tab w:val="left" w:pos="3855"/>
        </w:tabs>
        <w:spacing w:line="360" w:lineRule="auto"/>
        <w:rPr>
          <w:rFonts w:ascii="宋体" w:hAnsi="宋体" w:cs="宋体"/>
          <w:szCs w:val="21"/>
          <w:u w:val="single"/>
        </w:rPr>
      </w:pPr>
      <w:r>
        <w:rPr>
          <w:rFonts w:hint="eastAsia" w:ascii="宋体" w:hAnsi="宋体" w:cs="宋体"/>
          <w:szCs w:val="21"/>
        </w:rPr>
        <w:t>监理人指定的接收人为：</w:t>
      </w:r>
      <w:r>
        <w:rPr>
          <w:rFonts w:hint="eastAsia" w:ascii="宋体" w:hAnsi="宋体" w:cs="宋体"/>
          <w:szCs w:val="21"/>
          <w:u w:val="single"/>
        </w:rPr>
        <w:t>待定</w:t>
      </w:r>
      <w:r>
        <w:rPr>
          <w:rFonts w:hint="eastAsia" w:ascii="宋体" w:hAnsi="宋体" w:cs="宋体"/>
          <w:szCs w:val="21"/>
        </w:rPr>
        <w:fldChar w:fldCharType="begin"/>
      </w:r>
      <w:r>
        <w:rPr>
          <w:rFonts w:hint="eastAsia" w:ascii="宋体" w:hAnsi="宋体" w:cs="宋体"/>
          <w:szCs w:val="21"/>
        </w:rPr>
        <w:instrText xml:space="preserve"> AUTOTEXT  input444 \* MERGEFORMAT </w:instrText>
      </w:r>
      <w:r>
        <w:rPr>
          <w:rFonts w:hint="eastAsia" w:ascii="宋体" w:hAnsi="宋体" w:cs="宋体"/>
          <w:szCs w:val="21"/>
        </w:rPr>
        <w:fldChar w:fldCharType="end"/>
      </w:r>
    </w:p>
    <w:p w14:paraId="77DC3B34">
      <w:pPr>
        <w:tabs>
          <w:tab w:val="left" w:pos="3855"/>
        </w:tabs>
        <w:spacing w:line="360" w:lineRule="auto"/>
        <w:rPr>
          <w:rFonts w:ascii="宋体" w:hAnsi="宋体" w:cs="宋体"/>
          <w:szCs w:val="21"/>
        </w:rPr>
      </w:pPr>
      <w:r>
        <w:rPr>
          <w:rFonts w:hint="eastAsia" w:ascii="宋体" w:hAnsi="宋体" w:cs="宋体"/>
          <w:szCs w:val="21"/>
        </w:rPr>
        <w:t>(4)承包人指定的接收地点：</w:t>
      </w:r>
      <w:r>
        <w:rPr>
          <w:rFonts w:hint="eastAsia" w:ascii="宋体" w:hAnsi="宋体" w:cs="宋体"/>
          <w:szCs w:val="21"/>
          <w:u w:val="single"/>
        </w:rPr>
        <w:t>待定</w:t>
      </w:r>
      <w:r>
        <w:rPr>
          <w:rFonts w:hint="eastAsia" w:ascii="宋体" w:hAnsi="宋体" w:cs="宋体"/>
          <w:szCs w:val="21"/>
        </w:rPr>
        <w:fldChar w:fldCharType="begin"/>
      </w:r>
      <w:r>
        <w:rPr>
          <w:rFonts w:hint="eastAsia" w:ascii="宋体" w:hAnsi="宋体" w:cs="宋体"/>
          <w:szCs w:val="21"/>
        </w:rPr>
        <w:instrText xml:space="preserve"> AUTOTEXT  input872 \* MERGEFORMAT </w:instrText>
      </w:r>
      <w:r>
        <w:rPr>
          <w:rFonts w:hint="eastAsia" w:ascii="宋体" w:hAnsi="宋体" w:cs="宋体"/>
          <w:szCs w:val="21"/>
        </w:rPr>
        <w:fldChar w:fldCharType="end"/>
      </w:r>
    </w:p>
    <w:p w14:paraId="56D82975">
      <w:pPr>
        <w:tabs>
          <w:tab w:val="left" w:pos="3855"/>
        </w:tabs>
        <w:spacing w:line="360" w:lineRule="auto"/>
        <w:outlineLvl w:val="0"/>
        <w:rPr>
          <w:rFonts w:ascii="宋体" w:hAnsi="宋体" w:cs="宋体"/>
          <w:szCs w:val="21"/>
        </w:rPr>
      </w:pPr>
      <w:r>
        <w:rPr>
          <w:rFonts w:hint="eastAsia" w:ascii="宋体" w:hAnsi="宋体" w:cs="宋体"/>
          <w:szCs w:val="21"/>
        </w:rPr>
        <w:t>2.发包人义务</w:t>
      </w:r>
    </w:p>
    <w:p w14:paraId="3DBB592D">
      <w:pPr>
        <w:tabs>
          <w:tab w:val="left" w:pos="3855"/>
        </w:tabs>
        <w:spacing w:line="360" w:lineRule="auto"/>
        <w:outlineLvl w:val="1"/>
        <w:rPr>
          <w:rFonts w:ascii="宋体" w:hAnsi="宋体" w:cs="宋体"/>
          <w:szCs w:val="21"/>
        </w:rPr>
      </w:pPr>
      <w:r>
        <w:rPr>
          <w:rFonts w:hint="eastAsia" w:ascii="宋体" w:hAnsi="宋体" w:cs="宋体"/>
          <w:szCs w:val="21"/>
        </w:rPr>
        <w:t>2.3提供施工场地</w:t>
      </w:r>
    </w:p>
    <w:p w14:paraId="5758EDDC">
      <w:pPr>
        <w:tabs>
          <w:tab w:val="left" w:pos="3855"/>
        </w:tabs>
        <w:spacing w:line="360" w:lineRule="auto"/>
        <w:rPr>
          <w:rFonts w:ascii="宋体" w:hAnsi="宋体" w:cs="宋体"/>
          <w:szCs w:val="21"/>
        </w:rPr>
      </w:pPr>
      <w:r>
        <w:rPr>
          <w:rFonts w:hint="eastAsia" w:ascii="宋体" w:hAnsi="宋体" w:cs="宋体"/>
          <w:szCs w:val="21"/>
        </w:rPr>
        <w:t>发包人移交施工场地的期限：发包人应当将具备施工条件的施工场地，在监理人发出开工通知中载明的开工日期</w:t>
      </w:r>
      <w:r>
        <w:rPr>
          <w:rFonts w:hint="eastAsia" w:ascii="宋体" w:hAnsi="宋体" w:cs="宋体"/>
          <w:szCs w:val="21"/>
          <w:u w:val="single"/>
        </w:rPr>
        <w:t>7</w:t>
      </w:r>
      <w:r>
        <w:rPr>
          <w:rFonts w:hint="eastAsia" w:ascii="宋体" w:hAnsi="宋体" w:cs="宋体"/>
          <w:szCs w:val="21"/>
        </w:rPr>
        <w:fldChar w:fldCharType="begin"/>
      </w:r>
      <w:r>
        <w:rPr>
          <w:rFonts w:hint="eastAsia" w:ascii="宋体" w:hAnsi="宋体" w:cs="宋体"/>
          <w:szCs w:val="21"/>
        </w:rPr>
        <w:instrText xml:space="preserve"> AUTOTEXT  input445 \* MERGEFORMAT </w:instrText>
      </w:r>
      <w:r>
        <w:rPr>
          <w:rFonts w:hint="eastAsia" w:ascii="宋体" w:hAnsi="宋体" w:cs="宋体"/>
          <w:szCs w:val="21"/>
        </w:rPr>
        <w:fldChar w:fldCharType="end"/>
      </w:r>
      <w:r>
        <w:rPr>
          <w:rFonts w:hint="eastAsia" w:ascii="宋体" w:hAnsi="宋体" w:cs="宋体"/>
          <w:szCs w:val="21"/>
        </w:rPr>
        <w:t>天前移交给承包人。</w:t>
      </w:r>
    </w:p>
    <w:p w14:paraId="09A9FAF3">
      <w:pPr>
        <w:tabs>
          <w:tab w:val="left" w:pos="3855"/>
        </w:tabs>
        <w:spacing w:line="360" w:lineRule="auto"/>
        <w:outlineLvl w:val="1"/>
        <w:rPr>
          <w:rFonts w:ascii="宋体" w:hAnsi="宋体" w:cs="宋体"/>
          <w:szCs w:val="21"/>
        </w:rPr>
      </w:pPr>
      <w:r>
        <w:rPr>
          <w:rFonts w:hint="eastAsia" w:ascii="宋体" w:hAnsi="宋体" w:cs="宋体"/>
          <w:szCs w:val="21"/>
        </w:rPr>
        <w:t>2.8向承包人提交支付担保</w:t>
      </w:r>
    </w:p>
    <w:p w14:paraId="590CF093">
      <w:pPr>
        <w:tabs>
          <w:tab w:val="left" w:pos="3855"/>
        </w:tabs>
        <w:spacing w:line="360" w:lineRule="auto"/>
        <w:rPr>
          <w:rFonts w:ascii="宋体" w:hAnsi="宋体" w:cs="宋体"/>
          <w:szCs w:val="21"/>
        </w:rPr>
      </w:pPr>
      <w:r>
        <w:rPr>
          <w:rFonts w:hint="eastAsia" w:ascii="宋体" w:hAnsi="宋体" w:cs="宋体"/>
          <w:szCs w:val="21"/>
        </w:rPr>
        <w:t>(1)发包人向承包人提交支付担保的金额：</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input837 \* MERGEFORMAT </w:instrText>
      </w:r>
      <w:r>
        <w:rPr>
          <w:rFonts w:hint="eastAsia" w:ascii="宋体" w:hAnsi="宋体" w:cs="宋体"/>
          <w:szCs w:val="21"/>
        </w:rPr>
        <w:fldChar w:fldCharType="end"/>
      </w:r>
    </w:p>
    <w:p w14:paraId="60762F5C">
      <w:pPr>
        <w:tabs>
          <w:tab w:val="left" w:pos="3855"/>
        </w:tabs>
        <w:spacing w:line="360" w:lineRule="auto"/>
        <w:outlineLvl w:val="1"/>
        <w:rPr>
          <w:rFonts w:ascii="宋体" w:hAnsi="宋体" w:cs="宋体"/>
          <w:szCs w:val="21"/>
        </w:rPr>
      </w:pPr>
      <w:r>
        <w:rPr>
          <w:rFonts w:hint="eastAsia" w:ascii="宋体" w:hAnsi="宋体" w:cs="宋体"/>
          <w:szCs w:val="21"/>
        </w:rPr>
        <w:t>2.13其他义务</w:t>
      </w:r>
    </w:p>
    <w:p w14:paraId="3103D535">
      <w:pPr>
        <w:tabs>
          <w:tab w:val="left" w:pos="3855"/>
        </w:tabs>
        <w:spacing w:line="360" w:lineRule="auto"/>
        <w:rPr>
          <w:rFonts w:ascii="宋体" w:hAnsi="宋体" w:cs="宋体"/>
          <w:szCs w:val="21"/>
        </w:rPr>
      </w:pPr>
      <w:r>
        <w:rPr>
          <w:rFonts w:hint="eastAsia" w:ascii="宋体" w:hAnsi="宋体" w:cs="宋体"/>
          <w:szCs w:val="21"/>
        </w:rPr>
        <w:t>发包人应当履行的其他义务：</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input446 \* MERGEFORMAT </w:instrText>
      </w:r>
      <w:r>
        <w:rPr>
          <w:rFonts w:hint="eastAsia" w:ascii="宋体" w:hAnsi="宋体" w:cs="宋体"/>
          <w:szCs w:val="21"/>
        </w:rPr>
        <w:fldChar w:fldCharType="end"/>
      </w:r>
    </w:p>
    <w:p w14:paraId="7B172499">
      <w:pPr>
        <w:tabs>
          <w:tab w:val="left" w:pos="3855"/>
        </w:tabs>
        <w:spacing w:line="360" w:lineRule="auto"/>
        <w:outlineLvl w:val="0"/>
        <w:rPr>
          <w:rFonts w:ascii="宋体" w:hAnsi="宋体" w:cs="宋体"/>
          <w:szCs w:val="21"/>
        </w:rPr>
      </w:pPr>
      <w:r>
        <w:rPr>
          <w:rFonts w:hint="eastAsia" w:ascii="宋体" w:hAnsi="宋体" w:cs="宋体"/>
          <w:szCs w:val="21"/>
        </w:rPr>
        <w:t>3.监理人</w:t>
      </w:r>
    </w:p>
    <w:p w14:paraId="41E3F353">
      <w:pPr>
        <w:tabs>
          <w:tab w:val="left" w:pos="3855"/>
        </w:tabs>
        <w:spacing w:line="360" w:lineRule="auto"/>
        <w:outlineLvl w:val="1"/>
        <w:rPr>
          <w:rFonts w:ascii="宋体" w:hAnsi="宋体" w:cs="宋体"/>
          <w:szCs w:val="21"/>
        </w:rPr>
      </w:pPr>
      <w:r>
        <w:rPr>
          <w:rFonts w:hint="eastAsia" w:ascii="宋体" w:hAnsi="宋体" w:cs="宋体"/>
          <w:szCs w:val="21"/>
        </w:rPr>
        <w:t>3.1监理人的职责和权力</w:t>
      </w:r>
    </w:p>
    <w:p w14:paraId="60FA86CD">
      <w:pPr>
        <w:tabs>
          <w:tab w:val="left" w:pos="3855"/>
        </w:tabs>
        <w:spacing w:line="360" w:lineRule="auto"/>
        <w:outlineLvl w:val="2"/>
        <w:rPr>
          <w:rFonts w:ascii="宋体" w:hAnsi="宋体" w:cs="宋体"/>
          <w:szCs w:val="21"/>
        </w:rPr>
      </w:pPr>
      <w:r>
        <w:rPr>
          <w:rFonts w:hint="eastAsia" w:ascii="宋体" w:hAnsi="宋体" w:cs="宋体"/>
          <w:szCs w:val="21"/>
        </w:rPr>
        <w:t>3.1.1发包人需批准明确行使的权力：</w:t>
      </w:r>
      <w:r>
        <w:rPr>
          <w:rFonts w:hint="eastAsia" w:ascii="宋体" w:hAnsi="宋体" w:cs="宋体"/>
          <w:szCs w:val="21"/>
          <w:u w:val="single"/>
        </w:rPr>
        <w:t>(1)洽商变更的签订；（2）设计变更的签订；（3）工程量计量确认；（4）进度请款单的确认；（5）进度付款单的签字支付；（6）施工进度的更改或对工期给予延长的批准；（7）乙方使用的新材料、新产品、新工艺、新技术的项目；（8）结算审核报告的确认；（9）工程验收报告的确认。</w:t>
      </w:r>
      <w:r>
        <w:rPr>
          <w:rFonts w:hint="eastAsia" w:ascii="宋体" w:hAnsi="宋体" w:cs="宋体"/>
          <w:szCs w:val="21"/>
        </w:rPr>
        <w:fldChar w:fldCharType="begin"/>
      </w:r>
      <w:r>
        <w:rPr>
          <w:rFonts w:hint="eastAsia" w:ascii="宋体" w:hAnsi="宋体" w:cs="宋体"/>
          <w:szCs w:val="21"/>
        </w:rPr>
        <w:instrText xml:space="preserve"> AUTOTEXT  input447 \* MERGEFORMAT </w:instrText>
      </w:r>
      <w:r>
        <w:rPr>
          <w:rFonts w:hint="eastAsia" w:ascii="宋体" w:hAnsi="宋体" w:cs="宋体"/>
          <w:szCs w:val="21"/>
        </w:rPr>
        <w:fldChar w:fldCharType="end"/>
      </w:r>
    </w:p>
    <w:p w14:paraId="0612438A">
      <w:pPr>
        <w:tabs>
          <w:tab w:val="left" w:pos="3855"/>
        </w:tabs>
        <w:spacing w:line="360" w:lineRule="auto"/>
        <w:outlineLvl w:val="0"/>
        <w:rPr>
          <w:rFonts w:ascii="宋体" w:hAnsi="宋体" w:cs="宋体"/>
          <w:szCs w:val="21"/>
        </w:rPr>
      </w:pPr>
      <w:r>
        <w:rPr>
          <w:rFonts w:hint="eastAsia" w:ascii="宋体" w:hAnsi="宋体" w:cs="宋体"/>
          <w:szCs w:val="21"/>
        </w:rPr>
        <w:t>4.承包人</w:t>
      </w:r>
    </w:p>
    <w:p w14:paraId="05B5A92D">
      <w:pPr>
        <w:tabs>
          <w:tab w:val="left" w:pos="3855"/>
        </w:tabs>
        <w:spacing w:line="360" w:lineRule="auto"/>
        <w:outlineLvl w:val="1"/>
        <w:rPr>
          <w:rFonts w:ascii="宋体" w:hAnsi="宋体" w:cs="宋体"/>
          <w:szCs w:val="21"/>
        </w:rPr>
      </w:pPr>
      <w:r>
        <w:rPr>
          <w:rFonts w:hint="eastAsia" w:ascii="宋体" w:hAnsi="宋体" w:cs="宋体"/>
          <w:szCs w:val="21"/>
        </w:rPr>
        <w:t>4.1承包人的一般义务</w:t>
      </w:r>
    </w:p>
    <w:p w14:paraId="2527E4FD">
      <w:pPr>
        <w:tabs>
          <w:tab w:val="left" w:pos="3855"/>
        </w:tabs>
        <w:spacing w:line="360" w:lineRule="auto"/>
        <w:outlineLvl w:val="2"/>
        <w:rPr>
          <w:rFonts w:ascii="宋体" w:hAnsi="宋体" w:cs="宋体"/>
          <w:szCs w:val="21"/>
        </w:rPr>
      </w:pPr>
      <w:r>
        <w:rPr>
          <w:rFonts w:hint="eastAsia" w:ascii="宋体" w:hAnsi="宋体" w:cs="宋体"/>
          <w:szCs w:val="21"/>
        </w:rPr>
        <w:t>4.1.8为他人提供方便</w:t>
      </w:r>
    </w:p>
    <w:p w14:paraId="068875E3">
      <w:pPr>
        <w:tabs>
          <w:tab w:val="left" w:pos="3855"/>
        </w:tabs>
        <w:spacing w:line="360" w:lineRule="auto"/>
        <w:rPr>
          <w:rFonts w:ascii="宋体" w:hAnsi="宋体" w:cs="宋体"/>
          <w:szCs w:val="21"/>
        </w:rPr>
      </w:pPr>
      <w:r>
        <w:rPr>
          <w:rFonts w:hint="eastAsia" w:ascii="宋体" w:hAnsi="宋体" w:cs="宋体"/>
          <w:szCs w:val="21"/>
        </w:rPr>
        <w:t>(1)承包人应当对在施工场地或者附近实施与合同工程有关的其他工作的独立承包人履行管理、协调、配合、照管和服务义务的具体工作内容和要求：</w:t>
      </w:r>
      <w:r>
        <w:rPr>
          <w:rFonts w:hint="eastAsia" w:ascii="宋体" w:hAnsi="宋体" w:cs="宋体"/>
          <w:szCs w:val="21"/>
          <w:u w:val="single"/>
        </w:rPr>
        <w:t>/</w:t>
      </w:r>
    </w:p>
    <w:p w14:paraId="3C1F2CE1">
      <w:pPr>
        <w:tabs>
          <w:tab w:val="left" w:pos="3855"/>
        </w:tabs>
        <w:spacing w:line="360" w:lineRule="auto"/>
        <w:outlineLvl w:val="2"/>
        <w:rPr>
          <w:rFonts w:ascii="宋体" w:hAnsi="宋体" w:cs="宋体"/>
          <w:szCs w:val="21"/>
        </w:rPr>
      </w:pPr>
      <w:r>
        <w:rPr>
          <w:rFonts w:hint="eastAsia" w:ascii="宋体" w:hAnsi="宋体" w:cs="宋体"/>
          <w:szCs w:val="21"/>
        </w:rPr>
        <w:t>4.1.10承包人的设计工作</w:t>
      </w:r>
    </w:p>
    <w:p w14:paraId="13097C0C">
      <w:pPr>
        <w:tabs>
          <w:tab w:val="left" w:pos="3855"/>
        </w:tabs>
        <w:spacing w:line="360" w:lineRule="auto"/>
        <w:rPr>
          <w:rFonts w:ascii="宋体" w:hAnsi="宋体" w:cs="宋体"/>
          <w:szCs w:val="21"/>
        </w:rPr>
      </w:pPr>
      <w:r>
        <w:rPr>
          <w:rFonts w:hint="eastAsia" w:ascii="宋体" w:hAnsi="宋体" w:cs="宋体"/>
          <w:szCs w:val="21"/>
        </w:rPr>
        <w:t>承包人承担的施工图设计或与工程配套的设计工作内容：</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input449 \* MERGEFORMAT </w:instrText>
      </w:r>
      <w:r>
        <w:rPr>
          <w:rFonts w:hint="eastAsia" w:ascii="宋体" w:hAnsi="宋体" w:cs="宋体"/>
          <w:szCs w:val="21"/>
        </w:rPr>
        <w:fldChar w:fldCharType="end"/>
      </w:r>
    </w:p>
    <w:p w14:paraId="6DE896B2">
      <w:pPr>
        <w:tabs>
          <w:tab w:val="left" w:pos="3855"/>
        </w:tabs>
        <w:spacing w:line="360" w:lineRule="auto"/>
        <w:outlineLvl w:val="2"/>
        <w:rPr>
          <w:rFonts w:ascii="宋体" w:hAnsi="宋体" w:cs="宋体"/>
          <w:szCs w:val="21"/>
        </w:rPr>
      </w:pPr>
      <w:r>
        <w:rPr>
          <w:rFonts w:hint="eastAsia" w:ascii="宋体" w:hAnsi="宋体" w:cs="宋体"/>
          <w:szCs w:val="21"/>
        </w:rPr>
        <w:t>4.1.12其他义务</w:t>
      </w:r>
    </w:p>
    <w:p w14:paraId="0EEA2FAA">
      <w:pPr>
        <w:tabs>
          <w:tab w:val="left" w:pos="3855"/>
        </w:tabs>
        <w:spacing w:line="360" w:lineRule="auto"/>
        <w:rPr>
          <w:rFonts w:ascii="宋体" w:hAnsi="宋体" w:cs="宋体"/>
          <w:szCs w:val="21"/>
        </w:rPr>
      </w:pPr>
      <w:r>
        <w:rPr>
          <w:rFonts w:hint="eastAsia" w:ascii="宋体" w:hAnsi="宋体" w:cs="宋体"/>
          <w:szCs w:val="21"/>
        </w:rPr>
        <w:t>（1）安全文明施工费由承包人统一管理，承包人对工程安全文明施工负总责。</w:t>
      </w:r>
    </w:p>
    <w:p w14:paraId="4933501E">
      <w:pPr>
        <w:tabs>
          <w:tab w:val="left" w:pos="3855"/>
        </w:tabs>
        <w:spacing w:line="360" w:lineRule="auto"/>
        <w:rPr>
          <w:rFonts w:ascii="宋体" w:hAnsi="宋体" w:cs="宋体"/>
          <w:szCs w:val="21"/>
        </w:rPr>
      </w:pPr>
      <w:r>
        <w:rPr>
          <w:rFonts w:hint="eastAsia" w:ascii="宋体" w:hAnsi="宋体" w:cs="宋体"/>
          <w:szCs w:val="21"/>
        </w:rPr>
        <w:t>（2）对于超过一定规模的危大工程（如有），承包人应当组织召开专家论证会对专项施工方案进行论证，并根据专家论证意见对专项方案进行调整，发包人原因造成的专项方案调整，其费用变化由发包人承担。</w:t>
      </w:r>
    </w:p>
    <w:p w14:paraId="5095740D">
      <w:pPr>
        <w:tabs>
          <w:tab w:val="left" w:pos="3855"/>
        </w:tabs>
        <w:spacing w:line="360" w:lineRule="auto"/>
        <w:rPr>
          <w:rFonts w:ascii="宋体" w:hAnsi="宋体" w:cs="宋体"/>
          <w:szCs w:val="21"/>
        </w:rPr>
      </w:pPr>
      <w:r>
        <w:rPr>
          <w:rFonts w:hint="eastAsia" w:ascii="宋体" w:hAnsi="宋体" w:cs="宋体"/>
          <w:szCs w:val="21"/>
        </w:rPr>
        <w:t>（3）承包人应履行的其他义务：</w:t>
      </w:r>
    </w:p>
    <w:p w14:paraId="4B86189F">
      <w:pPr>
        <w:tabs>
          <w:tab w:val="left" w:pos="3855"/>
        </w:tabs>
        <w:spacing w:line="360" w:lineRule="auto"/>
        <w:rPr>
          <w:rFonts w:ascii="宋体" w:hAnsi="宋体" w:cs="宋体"/>
          <w:szCs w:val="21"/>
          <w:u w:val="single"/>
        </w:rPr>
      </w:pPr>
      <w:r>
        <w:rPr>
          <w:rFonts w:hint="eastAsia" w:ascii="宋体" w:hAnsi="宋体" w:cs="宋体"/>
          <w:szCs w:val="21"/>
          <w:u w:val="single"/>
        </w:rPr>
        <w:t>1)委派负责现场管理的承包人代表须持有与本工程相应的资格证书。</w:t>
      </w:r>
      <w:r>
        <w:rPr>
          <w:rFonts w:hint="eastAsia" w:ascii="宋体" w:hAnsi="宋体" w:cs="宋体"/>
          <w:szCs w:val="21"/>
          <w:u w:val="single"/>
        </w:rPr>
        <w:cr/>
      </w:r>
      <w:r>
        <w:rPr>
          <w:rFonts w:hint="eastAsia" w:ascii="宋体" w:hAnsi="宋体" w:cs="宋体"/>
          <w:szCs w:val="21"/>
          <w:u w:val="single"/>
        </w:rPr>
        <w:t>2)施工中如发现设计错误或严重不合理时，承包人应立即以书面形式通知监理人并经监理人报发包人。</w:t>
      </w:r>
      <w:r>
        <w:rPr>
          <w:rFonts w:hint="eastAsia" w:ascii="宋体" w:hAnsi="宋体" w:cs="宋体"/>
          <w:szCs w:val="21"/>
          <w:u w:val="single"/>
        </w:rPr>
        <w:cr/>
      </w:r>
      <w:r>
        <w:rPr>
          <w:rFonts w:hint="eastAsia" w:ascii="宋体" w:hAnsi="宋体" w:cs="宋体"/>
          <w:szCs w:val="21"/>
          <w:u w:val="single"/>
        </w:rPr>
        <w:t>3)承包人应自觉遵守执行国家及北京市行业主管部门颁布实施的有关安全生产的法规、规章、制度、标准。</w:t>
      </w:r>
      <w:r>
        <w:rPr>
          <w:rFonts w:hint="eastAsia" w:ascii="宋体" w:hAnsi="宋体" w:cs="宋体"/>
          <w:szCs w:val="21"/>
          <w:u w:val="single"/>
        </w:rPr>
        <w:cr/>
      </w:r>
      <w:r>
        <w:rPr>
          <w:rFonts w:hint="eastAsia" w:ascii="宋体" w:hAnsi="宋体" w:cs="宋体"/>
          <w:szCs w:val="21"/>
          <w:u w:val="single"/>
        </w:rPr>
        <w:t>4)承包人应当服从发包人现行的施工现场统一管理的规定及有关安全生产法规、规章、制度、标准，严格执行发包人下达的各项安全指令，确保安全施工，并按合同有关条款加强自身管理，履行承包人责任。</w:t>
      </w:r>
      <w:r>
        <w:rPr>
          <w:rFonts w:hint="eastAsia" w:ascii="宋体" w:hAnsi="宋体" w:cs="宋体"/>
          <w:szCs w:val="21"/>
          <w:u w:val="single"/>
        </w:rPr>
        <w:cr/>
      </w:r>
      <w:r>
        <w:rPr>
          <w:rFonts w:hint="eastAsia" w:ascii="宋体" w:hAnsi="宋体" w:cs="宋体"/>
          <w:szCs w:val="21"/>
          <w:u w:val="single"/>
        </w:rPr>
        <w:t>5)承包人确保本工程无安全事故发生。</w:t>
      </w:r>
      <w:r>
        <w:rPr>
          <w:rFonts w:hint="eastAsia" w:ascii="宋体" w:hAnsi="宋体" w:cs="宋体"/>
          <w:szCs w:val="21"/>
          <w:u w:val="single"/>
        </w:rPr>
        <w:cr/>
      </w:r>
      <w:r>
        <w:rPr>
          <w:rFonts w:hint="eastAsia" w:ascii="宋体" w:hAnsi="宋体" w:cs="宋体"/>
          <w:szCs w:val="21"/>
          <w:u w:val="single"/>
        </w:rPr>
        <w:t>6)已竣工工程未交付发包人之前，承包人负责其保护工作。保护期间发生损坏的，由承包人予以修复并承担相应费用。</w:t>
      </w:r>
      <w:r>
        <w:rPr>
          <w:rFonts w:hint="eastAsia" w:ascii="宋体" w:hAnsi="宋体" w:cs="宋体"/>
          <w:szCs w:val="21"/>
          <w:u w:val="single"/>
        </w:rPr>
        <w:cr/>
      </w:r>
      <w:r>
        <w:rPr>
          <w:rFonts w:hint="eastAsia" w:ascii="宋体" w:hAnsi="宋体" w:cs="宋体"/>
          <w:szCs w:val="21"/>
          <w:u w:val="single"/>
        </w:rPr>
        <w:t>7)对竣工验收后保修期内发现的工程质量问题负责免费返修，对造成的间接损失负责全部赔偿。</w:t>
      </w:r>
      <w:r>
        <w:rPr>
          <w:rFonts w:hint="eastAsia" w:ascii="宋体" w:hAnsi="宋体" w:cs="宋体"/>
          <w:szCs w:val="21"/>
          <w:u w:val="single"/>
        </w:rPr>
        <w:cr/>
      </w:r>
      <w:r>
        <w:rPr>
          <w:rFonts w:hint="eastAsia" w:ascii="宋体" w:hAnsi="宋体" w:cs="宋体"/>
          <w:szCs w:val="21"/>
          <w:u w:val="single"/>
        </w:rPr>
        <w:t>8)承包人应负责编制竣工资料。</w:t>
      </w:r>
    </w:p>
    <w:p w14:paraId="1091F8CF">
      <w:pPr>
        <w:tabs>
          <w:tab w:val="left" w:pos="3855"/>
        </w:tabs>
        <w:spacing w:line="360" w:lineRule="auto"/>
        <w:rPr>
          <w:rFonts w:ascii="宋体" w:hAnsi="宋体" w:cs="宋体"/>
          <w:szCs w:val="21"/>
        </w:rPr>
      </w:pPr>
      <w:r>
        <w:rPr>
          <w:rFonts w:hint="eastAsia" w:ascii="宋体" w:hAnsi="宋体" w:cs="宋体"/>
          <w:szCs w:val="21"/>
          <w:u w:val="single"/>
        </w:rPr>
        <w:t>9）拆除时的施工时间，应按软件所规定时间执行，建筑垃圾清运应按软件所物业单位要求执行；</w:t>
      </w:r>
      <w:r>
        <w:rPr>
          <w:rFonts w:hint="eastAsia" w:ascii="宋体" w:hAnsi="宋体" w:cs="宋体"/>
          <w:szCs w:val="21"/>
        </w:rPr>
        <w:fldChar w:fldCharType="begin"/>
      </w:r>
      <w:r>
        <w:rPr>
          <w:rFonts w:hint="eastAsia" w:ascii="宋体" w:hAnsi="宋体" w:cs="宋体"/>
          <w:szCs w:val="21"/>
        </w:rPr>
        <w:instrText xml:space="preserve"> AUTOTEXT  input450 \* MERGEFORMAT </w:instrText>
      </w:r>
      <w:r>
        <w:rPr>
          <w:rFonts w:hint="eastAsia" w:ascii="宋体" w:hAnsi="宋体" w:cs="宋体"/>
          <w:szCs w:val="21"/>
        </w:rPr>
        <w:fldChar w:fldCharType="end"/>
      </w:r>
    </w:p>
    <w:p w14:paraId="4B02C7C2">
      <w:pPr>
        <w:tabs>
          <w:tab w:val="left" w:pos="3855"/>
        </w:tabs>
        <w:spacing w:line="360" w:lineRule="auto"/>
        <w:outlineLvl w:val="1"/>
        <w:rPr>
          <w:rFonts w:ascii="宋体" w:hAnsi="宋体" w:cs="宋体"/>
          <w:szCs w:val="21"/>
        </w:rPr>
      </w:pPr>
      <w:r>
        <w:rPr>
          <w:rFonts w:hint="eastAsia" w:ascii="宋体" w:hAnsi="宋体" w:cs="宋体"/>
          <w:szCs w:val="21"/>
        </w:rPr>
        <w:t>4.2履约担保</w:t>
      </w:r>
    </w:p>
    <w:p w14:paraId="44B63DE9">
      <w:pPr>
        <w:tabs>
          <w:tab w:val="left" w:pos="3855"/>
        </w:tabs>
        <w:spacing w:line="360" w:lineRule="auto"/>
        <w:outlineLvl w:val="2"/>
        <w:rPr>
          <w:rFonts w:ascii="宋体" w:hAnsi="宋体" w:cs="宋体"/>
          <w:szCs w:val="21"/>
        </w:rPr>
      </w:pPr>
      <w:r>
        <w:rPr>
          <w:rFonts w:hint="eastAsia" w:ascii="宋体" w:hAnsi="宋体" w:cs="宋体"/>
          <w:szCs w:val="21"/>
        </w:rPr>
        <w:t>4.2.1承包人履约担保的格式和金额</w:t>
      </w:r>
    </w:p>
    <w:p w14:paraId="1E71E4B8">
      <w:pPr>
        <w:tabs>
          <w:tab w:val="left" w:pos="3855"/>
        </w:tabs>
        <w:spacing w:line="360" w:lineRule="auto"/>
        <w:rPr>
          <w:rFonts w:ascii="宋体" w:hAnsi="宋体" w:cs="宋体"/>
          <w:szCs w:val="21"/>
        </w:rPr>
      </w:pPr>
      <w:r>
        <w:rPr>
          <w:rFonts w:hint="eastAsia" w:ascii="宋体" w:hAnsi="宋体" w:cs="宋体"/>
          <w:szCs w:val="21"/>
        </w:rPr>
        <w:t>发包人</w:t>
      </w:r>
      <w:r>
        <w:rPr>
          <w:rFonts w:hint="eastAsia" w:ascii="宋体" w:hAnsi="宋体" w:cs="宋体"/>
          <w:szCs w:val="21"/>
          <w:u w:val="single"/>
        </w:rPr>
        <w:t>不要求</w:t>
      </w:r>
      <w:r>
        <w:rPr>
          <w:rFonts w:hint="eastAsia" w:ascii="宋体" w:hAnsi="宋体" w:cs="宋体"/>
          <w:szCs w:val="21"/>
        </w:rPr>
        <w:fldChar w:fldCharType="begin"/>
      </w:r>
      <w:r>
        <w:rPr>
          <w:rFonts w:hint="eastAsia" w:ascii="宋体" w:hAnsi="宋体" w:cs="宋体"/>
          <w:szCs w:val="21"/>
        </w:rPr>
        <w:instrText xml:space="preserve"> AUTOTEXT  input838 \* MERGEFORMAT </w:instrText>
      </w:r>
      <w:r>
        <w:rPr>
          <w:rFonts w:hint="eastAsia" w:ascii="宋体" w:hAnsi="宋体" w:cs="宋体"/>
          <w:szCs w:val="21"/>
        </w:rPr>
        <w:fldChar w:fldCharType="end"/>
      </w:r>
      <w:r>
        <w:rPr>
          <w:rFonts w:hint="eastAsia" w:ascii="宋体" w:hAnsi="宋体" w:cs="宋体"/>
          <w:szCs w:val="21"/>
        </w:rPr>
        <w:t>（要求/不要求）承包人提供承包人履约担保。</w:t>
      </w:r>
    </w:p>
    <w:p w14:paraId="12602EDA">
      <w:pPr>
        <w:tabs>
          <w:tab w:val="left" w:pos="3855"/>
        </w:tabs>
        <w:spacing w:line="360" w:lineRule="auto"/>
        <w:rPr>
          <w:rFonts w:ascii="宋体" w:hAnsi="宋体" w:cs="宋体"/>
          <w:szCs w:val="21"/>
        </w:rPr>
      </w:pPr>
      <w:r>
        <w:rPr>
          <w:rFonts w:hint="eastAsia" w:ascii="宋体" w:hAnsi="宋体" w:cs="宋体"/>
          <w:szCs w:val="21"/>
        </w:rPr>
        <w:t>承包人履约担保的金额为</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input451 \* MERGEFORMAT </w:instrText>
      </w:r>
      <w:r>
        <w:rPr>
          <w:rFonts w:hint="eastAsia" w:ascii="宋体" w:hAnsi="宋体" w:cs="宋体"/>
          <w:szCs w:val="21"/>
        </w:rPr>
        <w:fldChar w:fldCharType="end"/>
      </w:r>
    </w:p>
    <w:p w14:paraId="0EF22A07">
      <w:pPr>
        <w:tabs>
          <w:tab w:val="left" w:pos="3855"/>
        </w:tabs>
        <w:spacing w:line="360" w:lineRule="auto"/>
        <w:outlineLvl w:val="1"/>
        <w:rPr>
          <w:rFonts w:ascii="宋体" w:hAnsi="宋体" w:cs="宋体"/>
          <w:szCs w:val="21"/>
        </w:rPr>
      </w:pPr>
      <w:r>
        <w:rPr>
          <w:rFonts w:hint="eastAsia" w:ascii="宋体" w:hAnsi="宋体" w:cs="宋体"/>
          <w:szCs w:val="21"/>
        </w:rPr>
        <w:t>4.11不利物质条件</w:t>
      </w:r>
    </w:p>
    <w:p w14:paraId="7B43174C">
      <w:pPr>
        <w:tabs>
          <w:tab w:val="left" w:pos="3855"/>
        </w:tabs>
        <w:spacing w:line="360" w:lineRule="auto"/>
        <w:outlineLvl w:val="2"/>
        <w:rPr>
          <w:rFonts w:ascii="宋体" w:hAnsi="宋体" w:cs="宋体"/>
          <w:szCs w:val="21"/>
        </w:rPr>
      </w:pPr>
      <w:r>
        <w:rPr>
          <w:rFonts w:hint="eastAsia" w:ascii="宋体" w:hAnsi="宋体" w:cs="宋体"/>
          <w:szCs w:val="21"/>
        </w:rPr>
        <w:t>4.11.1不利物质条件的范围：</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input452 \* MERGEFORMAT </w:instrText>
      </w:r>
      <w:r>
        <w:rPr>
          <w:rFonts w:hint="eastAsia" w:ascii="宋体" w:hAnsi="宋体" w:cs="宋体"/>
          <w:szCs w:val="21"/>
        </w:rPr>
        <w:fldChar w:fldCharType="end"/>
      </w:r>
    </w:p>
    <w:p w14:paraId="57E1A6C2">
      <w:pPr>
        <w:tabs>
          <w:tab w:val="left" w:pos="3855"/>
        </w:tabs>
        <w:spacing w:line="360" w:lineRule="auto"/>
        <w:outlineLvl w:val="0"/>
        <w:rPr>
          <w:rFonts w:ascii="宋体" w:hAnsi="宋体" w:cs="宋体"/>
          <w:szCs w:val="21"/>
        </w:rPr>
      </w:pPr>
      <w:r>
        <w:rPr>
          <w:rFonts w:hint="eastAsia" w:ascii="宋体" w:hAnsi="宋体" w:cs="宋体"/>
          <w:szCs w:val="21"/>
        </w:rPr>
        <w:t>5.材料和工程设备</w:t>
      </w:r>
    </w:p>
    <w:p w14:paraId="06C74CE7">
      <w:pPr>
        <w:tabs>
          <w:tab w:val="left" w:pos="3855"/>
        </w:tabs>
        <w:spacing w:line="360" w:lineRule="auto"/>
        <w:outlineLvl w:val="1"/>
        <w:rPr>
          <w:rFonts w:ascii="宋体" w:hAnsi="宋体" w:cs="宋体"/>
          <w:szCs w:val="21"/>
        </w:rPr>
      </w:pPr>
      <w:r>
        <w:rPr>
          <w:rFonts w:hint="eastAsia" w:ascii="宋体" w:hAnsi="宋体" w:cs="宋体"/>
          <w:szCs w:val="21"/>
        </w:rPr>
        <w:t>5.1承包人提供的材料和工程设备</w:t>
      </w:r>
    </w:p>
    <w:p w14:paraId="26DDE707">
      <w:pPr>
        <w:tabs>
          <w:tab w:val="left" w:pos="3855"/>
        </w:tabs>
        <w:spacing w:line="360" w:lineRule="auto"/>
        <w:outlineLvl w:val="2"/>
        <w:rPr>
          <w:rFonts w:ascii="宋体" w:hAnsi="宋体" w:cs="宋体"/>
          <w:szCs w:val="21"/>
        </w:rPr>
      </w:pPr>
      <w:r>
        <w:rPr>
          <w:rFonts w:hint="eastAsia" w:ascii="宋体" w:hAnsi="宋体" w:cs="宋体"/>
          <w:szCs w:val="21"/>
        </w:rPr>
        <w:t>5.1.2承包人将由其提供的材料和工程设备的供货人和品种、规格、数量及供货时间等报送监理人审批的期限：</w:t>
      </w:r>
      <w:r>
        <w:rPr>
          <w:rFonts w:hint="eastAsia" w:ascii="宋体" w:hAnsi="宋体" w:cs="宋体"/>
          <w:szCs w:val="21"/>
          <w:u w:val="single"/>
        </w:rPr>
        <w:t>监理人收到后7天内。</w:t>
      </w:r>
      <w:r>
        <w:rPr>
          <w:rFonts w:hint="eastAsia" w:ascii="宋体" w:hAnsi="宋体" w:cs="宋体"/>
          <w:szCs w:val="21"/>
        </w:rPr>
        <w:fldChar w:fldCharType="begin"/>
      </w:r>
      <w:r>
        <w:rPr>
          <w:rFonts w:hint="eastAsia" w:ascii="宋体" w:hAnsi="宋体" w:cs="宋体"/>
          <w:szCs w:val="21"/>
        </w:rPr>
        <w:instrText xml:space="preserve"> AUTOTEXT  input453 \* MERGEFORMAT </w:instrText>
      </w:r>
      <w:r>
        <w:rPr>
          <w:rFonts w:hint="eastAsia" w:ascii="宋体" w:hAnsi="宋体" w:cs="宋体"/>
          <w:szCs w:val="21"/>
        </w:rPr>
        <w:fldChar w:fldCharType="end"/>
      </w:r>
    </w:p>
    <w:p w14:paraId="29F4B85C">
      <w:pPr>
        <w:tabs>
          <w:tab w:val="left" w:pos="3855"/>
        </w:tabs>
        <w:spacing w:line="360" w:lineRule="auto"/>
        <w:outlineLvl w:val="0"/>
        <w:rPr>
          <w:rFonts w:ascii="宋体" w:hAnsi="宋体" w:cs="宋体"/>
          <w:szCs w:val="21"/>
        </w:rPr>
      </w:pPr>
      <w:r>
        <w:rPr>
          <w:rFonts w:hint="eastAsia" w:ascii="宋体" w:hAnsi="宋体" w:cs="宋体"/>
          <w:szCs w:val="21"/>
        </w:rPr>
        <w:t>6.施工设备和临时设施</w:t>
      </w:r>
    </w:p>
    <w:p w14:paraId="2C515978">
      <w:pPr>
        <w:tabs>
          <w:tab w:val="left" w:pos="3855"/>
        </w:tabs>
        <w:spacing w:line="360" w:lineRule="auto"/>
        <w:outlineLvl w:val="1"/>
        <w:rPr>
          <w:rFonts w:ascii="宋体" w:hAnsi="宋体" w:cs="宋体"/>
          <w:szCs w:val="21"/>
        </w:rPr>
      </w:pPr>
      <w:r>
        <w:rPr>
          <w:rFonts w:hint="eastAsia" w:ascii="宋体" w:hAnsi="宋体" w:cs="宋体"/>
          <w:szCs w:val="21"/>
        </w:rPr>
        <w:t>6.1承包人提供的施工设备和临时设施</w:t>
      </w:r>
    </w:p>
    <w:p w14:paraId="47E22556">
      <w:pPr>
        <w:tabs>
          <w:tab w:val="left" w:pos="3855"/>
        </w:tabs>
        <w:spacing w:line="360" w:lineRule="auto"/>
        <w:outlineLvl w:val="2"/>
        <w:rPr>
          <w:rFonts w:ascii="宋体" w:hAnsi="宋体" w:cs="宋体"/>
          <w:szCs w:val="21"/>
        </w:rPr>
      </w:pPr>
      <w:r>
        <w:rPr>
          <w:rFonts w:hint="eastAsia" w:ascii="宋体" w:hAnsi="宋体" w:cs="宋体"/>
          <w:szCs w:val="21"/>
        </w:rPr>
        <w:t>6.1.2承包人承担自行修建临时设施费用的范围：</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input454 \* MERGEFORMAT </w:instrText>
      </w:r>
      <w:r>
        <w:rPr>
          <w:rFonts w:hint="eastAsia" w:ascii="宋体" w:hAnsi="宋体" w:cs="宋体"/>
          <w:szCs w:val="21"/>
        </w:rPr>
        <w:fldChar w:fldCharType="end"/>
      </w:r>
    </w:p>
    <w:p w14:paraId="49BF3ECA">
      <w:pPr>
        <w:tabs>
          <w:tab w:val="left" w:pos="3855"/>
        </w:tabs>
        <w:spacing w:line="360" w:lineRule="auto"/>
        <w:rPr>
          <w:rFonts w:ascii="宋体" w:hAnsi="宋体" w:cs="宋体"/>
          <w:szCs w:val="21"/>
        </w:rPr>
      </w:pPr>
      <w:r>
        <w:rPr>
          <w:rFonts w:hint="eastAsia" w:ascii="宋体" w:hAnsi="宋体" w:cs="宋体"/>
          <w:szCs w:val="21"/>
        </w:rPr>
        <w:t>发包人办理申请手续并承担相关费用的临时占地：</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input455 \* MERGEFORMAT </w:instrText>
      </w:r>
      <w:r>
        <w:rPr>
          <w:rFonts w:hint="eastAsia" w:ascii="宋体" w:hAnsi="宋体" w:cs="宋体"/>
          <w:szCs w:val="21"/>
        </w:rPr>
        <w:fldChar w:fldCharType="end"/>
      </w:r>
    </w:p>
    <w:p w14:paraId="48D8B076">
      <w:pPr>
        <w:tabs>
          <w:tab w:val="left" w:pos="3855"/>
        </w:tabs>
        <w:spacing w:line="360" w:lineRule="auto"/>
        <w:outlineLvl w:val="1"/>
        <w:rPr>
          <w:rFonts w:ascii="宋体" w:hAnsi="宋体" w:cs="宋体"/>
          <w:szCs w:val="21"/>
        </w:rPr>
      </w:pPr>
      <w:r>
        <w:rPr>
          <w:rFonts w:hint="eastAsia" w:ascii="宋体" w:hAnsi="宋体" w:cs="宋体"/>
          <w:szCs w:val="21"/>
        </w:rPr>
        <w:t>6.2发包人提供的施工设备和临时设施</w:t>
      </w:r>
    </w:p>
    <w:p w14:paraId="3BF679FB">
      <w:pPr>
        <w:tabs>
          <w:tab w:val="left" w:pos="3855"/>
        </w:tabs>
        <w:spacing w:line="360" w:lineRule="auto"/>
        <w:rPr>
          <w:rFonts w:ascii="宋体" w:hAnsi="宋体" w:cs="宋体"/>
          <w:szCs w:val="21"/>
        </w:rPr>
      </w:pPr>
      <w:r>
        <w:rPr>
          <w:rFonts w:hint="eastAsia" w:ascii="宋体" w:hAnsi="宋体" w:cs="宋体"/>
          <w:szCs w:val="21"/>
        </w:rPr>
        <w:t>发包人提供的施工设备和临时设施：</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input456 \* MERGEFORMAT </w:instrText>
      </w:r>
      <w:r>
        <w:rPr>
          <w:rFonts w:hint="eastAsia" w:ascii="宋体" w:hAnsi="宋体" w:cs="宋体"/>
          <w:szCs w:val="21"/>
        </w:rPr>
        <w:fldChar w:fldCharType="end"/>
      </w:r>
    </w:p>
    <w:p w14:paraId="79B26739">
      <w:pPr>
        <w:tabs>
          <w:tab w:val="left" w:pos="3855"/>
        </w:tabs>
        <w:spacing w:line="360" w:lineRule="auto"/>
        <w:rPr>
          <w:rFonts w:ascii="宋体" w:hAnsi="宋体" w:cs="宋体"/>
          <w:szCs w:val="21"/>
        </w:rPr>
      </w:pPr>
      <w:r>
        <w:rPr>
          <w:rFonts w:hint="eastAsia" w:ascii="宋体" w:hAnsi="宋体" w:cs="宋体"/>
          <w:szCs w:val="21"/>
        </w:rPr>
        <w:t>发包人提供的施工设备和临时设施的运行、维护、拆除、清运费用的承担人：</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input457 \* MERGEFORMAT </w:instrText>
      </w:r>
      <w:r>
        <w:rPr>
          <w:rFonts w:hint="eastAsia" w:ascii="宋体" w:hAnsi="宋体" w:cs="宋体"/>
          <w:szCs w:val="21"/>
        </w:rPr>
        <w:fldChar w:fldCharType="end"/>
      </w:r>
    </w:p>
    <w:p w14:paraId="4C2EFC21">
      <w:pPr>
        <w:tabs>
          <w:tab w:val="left" w:pos="3855"/>
        </w:tabs>
        <w:spacing w:line="360" w:lineRule="auto"/>
        <w:outlineLvl w:val="0"/>
        <w:rPr>
          <w:rFonts w:ascii="宋体" w:hAnsi="宋体" w:cs="宋体"/>
          <w:szCs w:val="21"/>
        </w:rPr>
      </w:pPr>
      <w:r>
        <w:rPr>
          <w:rFonts w:hint="eastAsia" w:ascii="宋体" w:hAnsi="宋体" w:cs="宋体"/>
          <w:szCs w:val="21"/>
        </w:rPr>
        <w:t>7.交通运输</w:t>
      </w:r>
    </w:p>
    <w:p w14:paraId="418B52BB">
      <w:pPr>
        <w:tabs>
          <w:tab w:val="left" w:pos="3855"/>
        </w:tabs>
        <w:spacing w:line="360" w:lineRule="auto"/>
        <w:outlineLvl w:val="1"/>
        <w:rPr>
          <w:rFonts w:ascii="宋体" w:hAnsi="宋体" w:cs="宋体"/>
          <w:szCs w:val="21"/>
        </w:rPr>
      </w:pPr>
      <w:r>
        <w:rPr>
          <w:rFonts w:hint="eastAsia" w:ascii="宋体" w:hAnsi="宋体" w:cs="宋体"/>
          <w:szCs w:val="21"/>
        </w:rPr>
        <w:t>7.1道路通行权和场外设施</w:t>
      </w:r>
    </w:p>
    <w:p w14:paraId="18F1BA7C">
      <w:pPr>
        <w:tabs>
          <w:tab w:val="left" w:pos="3855"/>
        </w:tabs>
        <w:spacing w:line="360" w:lineRule="auto"/>
        <w:rPr>
          <w:rFonts w:ascii="宋体" w:hAnsi="宋体" w:cs="宋体"/>
          <w:szCs w:val="21"/>
        </w:rPr>
      </w:pPr>
      <w:r>
        <w:rPr>
          <w:rFonts w:hint="eastAsia" w:ascii="宋体" w:hAnsi="宋体" w:cs="宋体"/>
          <w:szCs w:val="21"/>
        </w:rPr>
        <w:t>负责取得道路通行权、场外设施修建权的办理人：</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input458 \* MERGEFORMAT </w:instrText>
      </w:r>
      <w:r>
        <w:rPr>
          <w:rFonts w:hint="eastAsia" w:ascii="宋体" w:hAnsi="宋体" w:cs="宋体"/>
          <w:szCs w:val="21"/>
        </w:rPr>
        <w:fldChar w:fldCharType="end"/>
      </w:r>
      <w:r>
        <w:rPr>
          <w:rFonts w:hint="eastAsia" w:ascii="宋体" w:hAnsi="宋体" w:cs="宋体"/>
          <w:szCs w:val="21"/>
        </w:rPr>
        <w:t>，其相关费用由发包人承担。</w:t>
      </w:r>
    </w:p>
    <w:p w14:paraId="0C8BE5C4">
      <w:pPr>
        <w:tabs>
          <w:tab w:val="left" w:pos="3855"/>
        </w:tabs>
        <w:spacing w:line="360" w:lineRule="auto"/>
        <w:outlineLvl w:val="1"/>
        <w:rPr>
          <w:rFonts w:ascii="宋体" w:hAnsi="宋体" w:cs="宋体"/>
          <w:szCs w:val="21"/>
        </w:rPr>
      </w:pPr>
      <w:r>
        <w:rPr>
          <w:rFonts w:hint="eastAsia" w:ascii="宋体" w:hAnsi="宋体" w:cs="宋体"/>
          <w:szCs w:val="21"/>
        </w:rPr>
        <w:t>7.2场内施工道路</w:t>
      </w:r>
    </w:p>
    <w:p w14:paraId="6DFA44F3">
      <w:pPr>
        <w:tabs>
          <w:tab w:val="left" w:pos="3855"/>
        </w:tabs>
        <w:spacing w:line="360" w:lineRule="auto"/>
        <w:outlineLvl w:val="2"/>
        <w:rPr>
          <w:rFonts w:ascii="宋体" w:hAnsi="宋体" w:cs="宋体"/>
          <w:szCs w:val="21"/>
        </w:rPr>
      </w:pPr>
      <w:r>
        <w:rPr>
          <w:rFonts w:hint="eastAsia" w:ascii="宋体" w:hAnsi="宋体" w:cs="宋体"/>
          <w:szCs w:val="21"/>
        </w:rPr>
        <w:t>7.2.1施工所需的场内临时道路和交通设施的修建、维护、养护和管理人：</w:t>
      </w:r>
      <w:r>
        <w:rPr>
          <w:rFonts w:hint="eastAsia" w:ascii="宋体" w:hAnsi="宋体" w:cs="宋体"/>
          <w:szCs w:val="21"/>
          <w:u w:val="single"/>
        </w:rPr>
        <w:t>承包人</w:t>
      </w:r>
      <w:r>
        <w:rPr>
          <w:rFonts w:hint="eastAsia" w:ascii="宋体" w:hAnsi="宋体" w:cs="宋体"/>
          <w:szCs w:val="21"/>
        </w:rPr>
        <w:fldChar w:fldCharType="begin"/>
      </w:r>
      <w:r>
        <w:rPr>
          <w:rFonts w:hint="eastAsia" w:ascii="宋体" w:hAnsi="宋体" w:cs="宋体"/>
          <w:szCs w:val="21"/>
        </w:rPr>
        <w:instrText xml:space="preserve"> AUTOTEXT  input459 \* MERGEFORMAT </w:instrText>
      </w:r>
      <w:r>
        <w:rPr>
          <w:rFonts w:hint="eastAsia" w:ascii="宋体" w:hAnsi="宋体" w:cs="宋体"/>
          <w:szCs w:val="21"/>
        </w:rPr>
        <w:fldChar w:fldCharType="end"/>
      </w:r>
      <w:r>
        <w:rPr>
          <w:rFonts w:hint="eastAsia" w:ascii="宋体" w:hAnsi="宋体" w:cs="宋体"/>
          <w:szCs w:val="21"/>
        </w:rPr>
        <w:t>，相关费用由</w:t>
      </w:r>
      <w:r>
        <w:rPr>
          <w:rFonts w:hint="eastAsia" w:ascii="宋体" w:hAnsi="宋体" w:cs="宋体"/>
          <w:szCs w:val="21"/>
          <w:u w:val="single"/>
        </w:rPr>
        <w:t>承包人</w:t>
      </w:r>
      <w:r>
        <w:rPr>
          <w:rFonts w:hint="eastAsia" w:ascii="宋体" w:hAnsi="宋体" w:cs="宋体"/>
          <w:szCs w:val="21"/>
        </w:rPr>
        <w:fldChar w:fldCharType="begin"/>
      </w:r>
      <w:r>
        <w:rPr>
          <w:rFonts w:hint="eastAsia" w:ascii="宋体" w:hAnsi="宋体" w:cs="宋体"/>
          <w:szCs w:val="21"/>
        </w:rPr>
        <w:instrText xml:space="preserve"> AUTOTEXT  input460 \* MERGEFORMAT </w:instrText>
      </w:r>
      <w:r>
        <w:rPr>
          <w:rFonts w:hint="eastAsia" w:ascii="宋体" w:hAnsi="宋体" w:cs="宋体"/>
          <w:szCs w:val="21"/>
        </w:rPr>
        <w:fldChar w:fldCharType="end"/>
      </w:r>
      <w:r>
        <w:rPr>
          <w:rFonts w:hint="eastAsia" w:ascii="宋体" w:hAnsi="宋体" w:cs="宋体"/>
          <w:szCs w:val="21"/>
        </w:rPr>
        <w:t>承担。</w:t>
      </w:r>
    </w:p>
    <w:p w14:paraId="353419AF">
      <w:pPr>
        <w:tabs>
          <w:tab w:val="left" w:pos="3855"/>
        </w:tabs>
        <w:spacing w:line="360" w:lineRule="auto"/>
        <w:outlineLvl w:val="1"/>
        <w:rPr>
          <w:rFonts w:ascii="宋体" w:hAnsi="宋体" w:cs="宋体"/>
          <w:szCs w:val="21"/>
        </w:rPr>
      </w:pPr>
      <w:r>
        <w:rPr>
          <w:rFonts w:hint="eastAsia" w:ascii="宋体" w:hAnsi="宋体" w:cs="宋体"/>
          <w:szCs w:val="21"/>
        </w:rPr>
        <w:t>7.4超大件和超重件的运输</w:t>
      </w:r>
    </w:p>
    <w:p w14:paraId="2ACA2EB5">
      <w:pPr>
        <w:tabs>
          <w:tab w:val="left" w:pos="3855"/>
        </w:tabs>
        <w:spacing w:line="360" w:lineRule="auto"/>
        <w:rPr>
          <w:rFonts w:ascii="宋体" w:hAnsi="宋体" w:cs="宋体"/>
          <w:szCs w:val="21"/>
        </w:rPr>
      </w:pPr>
      <w:r>
        <w:rPr>
          <w:rFonts w:hint="eastAsia" w:ascii="宋体" w:hAnsi="宋体" w:cs="宋体"/>
          <w:szCs w:val="21"/>
        </w:rPr>
        <w:t>运输超大件或超重件所需的道路和桥梁临时加固改造等费用的承担人：</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input461 \* MERGEFORMAT </w:instrText>
      </w:r>
      <w:r>
        <w:rPr>
          <w:rFonts w:hint="eastAsia" w:ascii="宋体" w:hAnsi="宋体" w:cs="宋体"/>
          <w:szCs w:val="21"/>
        </w:rPr>
        <w:fldChar w:fldCharType="end"/>
      </w:r>
    </w:p>
    <w:p w14:paraId="296EB151">
      <w:pPr>
        <w:tabs>
          <w:tab w:val="left" w:pos="3855"/>
        </w:tabs>
        <w:spacing w:line="360" w:lineRule="auto"/>
        <w:outlineLvl w:val="0"/>
        <w:rPr>
          <w:rFonts w:ascii="宋体" w:hAnsi="宋体" w:cs="宋体"/>
          <w:szCs w:val="21"/>
        </w:rPr>
      </w:pPr>
      <w:r>
        <w:rPr>
          <w:rFonts w:hint="eastAsia" w:ascii="宋体" w:hAnsi="宋体" w:cs="宋体"/>
          <w:szCs w:val="21"/>
        </w:rPr>
        <w:t>8.测量放线</w:t>
      </w:r>
    </w:p>
    <w:p w14:paraId="169548EB">
      <w:pPr>
        <w:tabs>
          <w:tab w:val="left" w:pos="3855"/>
        </w:tabs>
        <w:spacing w:line="360" w:lineRule="auto"/>
        <w:outlineLvl w:val="1"/>
        <w:rPr>
          <w:rFonts w:ascii="宋体" w:hAnsi="宋体" w:cs="宋体"/>
          <w:szCs w:val="21"/>
        </w:rPr>
      </w:pPr>
      <w:r>
        <w:rPr>
          <w:rFonts w:hint="eastAsia" w:ascii="宋体" w:hAnsi="宋体" w:cs="宋体"/>
          <w:szCs w:val="21"/>
        </w:rPr>
        <w:t>8.1施工控制网</w:t>
      </w:r>
    </w:p>
    <w:p w14:paraId="781B26B3">
      <w:pPr>
        <w:tabs>
          <w:tab w:val="left" w:pos="3855"/>
        </w:tabs>
        <w:spacing w:line="360" w:lineRule="auto"/>
        <w:outlineLvl w:val="2"/>
        <w:rPr>
          <w:rFonts w:ascii="宋体" w:hAnsi="宋体" w:cs="宋体"/>
          <w:szCs w:val="21"/>
        </w:rPr>
      </w:pPr>
      <w:r>
        <w:rPr>
          <w:rFonts w:hint="eastAsia" w:ascii="宋体" w:hAnsi="宋体" w:cs="宋体"/>
          <w:szCs w:val="21"/>
        </w:rPr>
        <w:t>8.1.1发包人通过监理人提供测量基准点、基准线和水准点及其书面资料的期限：</w:t>
      </w:r>
    </w:p>
    <w:p w14:paraId="44A89E3C">
      <w:pPr>
        <w:tabs>
          <w:tab w:val="left" w:pos="3855"/>
        </w:tabs>
        <w:spacing w:line="360" w:lineRule="auto"/>
        <w:rPr>
          <w:rFonts w:ascii="宋体" w:hAnsi="宋体" w:cs="宋体"/>
          <w:szCs w:val="21"/>
        </w:rPr>
      </w:pPr>
      <w:r>
        <w:rPr>
          <w:rFonts w:hint="eastAsia" w:ascii="宋体" w:hAnsi="宋体" w:cs="宋体"/>
          <w:szCs w:val="21"/>
          <w:u w:val="single"/>
        </w:rPr>
        <w:t>发包人收到书面资料后7天内。</w:t>
      </w:r>
      <w:r>
        <w:rPr>
          <w:rFonts w:hint="eastAsia" w:ascii="宋体" w:hAnsi="宋体" w:cs="宋体"/>
          <w:szCs w:val="21"/>
        </w:rPr>
        <w:fldChar w:fldCharType="begin"/>
      </w:r>
      <w:r>
        <w:rPr>
          <w:rFonts w:hint="eastAsia" w:ascii="宋体" w:hAnsi="宋体" w:cs="宋体"/>
          <w:szCs w:val="21"/>
        </w:rPr>
        <w:instrText xml:space="preserve"> AUTOTEXT  input462 \* MERGEFORMAT </w:instrText>
      </w:r>
      <w:r>
        <w:rPr>
          <w:rFonts w:hint="eastAsia" w:ascii="宋体" w:hAnsi="宋体" w:cs="宋体"/>
          <w:szCs w:val="21"/>
        </w:rPr>
        <w:fldChar w:fldCharType="end"/>
      </w:r>
    </w:p>
    <w:p w14:paraId="13CB2B5B">
      <w:pPr>
        <w:tabs>
          <w:tab w:val="left" w:pos="3855"/>
        </w:tabs>
        <w:spacing w:line="360" w:lineRule="auto"/>
        <w:outlineLvl w:val="2"/>
        <w:rPr>
          <w:rFonts w:ascii="宋体" w:hAnsi="宋体" w:cs="宋体"/>
          <w:szCs w:val="21"/>
        </w:rPr>
      </w:pPr>
      <w:r>
        <w:rPr>
          <w:rFonts w:hint="eastAsia" w:ascii="宋体" w:hAnsi="宋体" w:cs="宋体"/>
          <w:szCs w:val="21"/>
        </w:rPr>
        <w:t>8.1.2承包人测设施工控制网的其他要求：</w:t>
      </w:r>
      <w:r>
        <w:rPr>
          <w:rFonts w:hint="eastAsia" w:ascii="宋体" w:hAnsi="宋体" w:cs="宋体"/>
          <w:szCs w:val="21"/>
          <w:u w:val="single"/>
        </w:rPr>
        <w:t>由承包人依据监理人提供的测量基准点、基准线和水准点以及国家的工程测量技术规范和合同要求的工程精度，测设施工控制网。</w:t>
      </w:r>
      <w:r>
        <w:rPr>
          <w:rFonts w:hint="eastAsia" w:ascii="宋体" w:hAnsi="宋体" w:cs="宋体"/>
          <w:szCs w:val="21"/>
        </w:rPr>
        <w:fldChar w:fldCharType="begin"/>
      </w:r>
      <w:r>
        <w:rPr>
          <w:rFonts w:hint="eastAsia" w:ascii="宋体" w:hAnsi="宋体" w:cs="宋体"/>
          <w:szCs w:val="21"/>
        </w:rPr>
        <w:instrText xml:space="preserve"> AUTOTEXT  input463 \* MERGEFORMAT </w:instrText>
      </w:r>
      <w:r>
        <w:rPr>
          <w:rFonts w:hint="eastAsia" w:ascii="宋体" w:hAnsi="宋体" w:cs="宋体"/>
          <w:szCs w:val="21"/>
        </w:rPr>
        <w:fldChar w:fldCharType="end"/>
      </w:r>
    </w:p>
    <w:p w14:paraId="744B0770">
      <w:pPr>
        <w:tabs>
          <w:tab w:val="left" w:pos="3855"/>
        </w:tabs>
        <w:spacing w:line="360" w:lineRule="auto"/>
        <w:rPr>
          <w:rFonts w:ascii="宋体" w:hAnsi="宋体" w:cs="宋体"/>
          <w:szCs w:val="21"/>
        </w:rPr>
      </w:pPr>
      <w:r>
        <w:rPr>
          <w:rFonts w:hint="eastAsia" w:ascii="宋体" w:hAnsi="宋体" w:cs="宋体"/>
          <w:szCs w:val="21"/>
        </w:rPr>
        <w:t>承包人将施工控制网资料报送监理人审批的期限：</w:t>
      </w:r>
      <w:r>
        <w:rPr>
          <w:rFonts w:hint="eastAsia" w:ascii="宋体" w:hAnsi="宋体" w:cs="宋体"/>
          <w:szCs w:val="21"/>
          <w:u w:val="single"/>
        </w:rPr>
        <w:t>监理人收到后7天内。</w:t>
      </w:r>
      <w:r>
        <w:rPr>
          <w:rFonts w:hint="eastAsia" w:ascii="宋体" w:hAnsi="宋体" w:cs="宋体"/>
          <w:szCs w:val="21"/>
        </w:rPr>
        <w:fldChar w:fldCharType="begin"/>
      </w:r>
      <w:r>
        <w:rPr>
          <w:rFonts w:hint="eastAsia" w:ascii="宋体" w:hAnsi="宋体" w:cs="宋体"/>
          <w:szCs w:val="21"/>
        </w:rPr>
        <w:instrText xml:space="preserve"> AUTOTEXT  input464 \* MERGEFORMAT </w:instrText>
      </w:r>
      <w:r>
        <w:rPr>
          <w:rFonts w:hint="eastAsia" w:ascii="宋体" w:hAnsi="宋体" w:cs="宋体"/>
          <w:szCs w:val="21"/>
        </w:rPr>
        <w:fldChar w:fldCharType="end"/>
      </w:r>
    </w:p>
    <w:p w14:paraId="7D695B87">
      <w:pPr>
        <w:tabs>
          <w:tab w:val="left" w:pos="3855"/>
        </w:tabs>
        <w:spacing w:line="360" w:lineRule="auto"/>
        <w:outlineLvl w:val="0"/>
        <w:rPr>
          <w:rFonts w:ascii="宋体" w:hAnsi="宋体" w:cs="宋体"/>
          <w:szCs w:val="21"/>
        </w:rPr>
      </w:pPr>
      <w:r>
        <w:rPr>
          <w:rFonts w:hint="eastAsia" w:ascii="宋体" w:hAnsi="宋体" w:cs="宋体"/>
          <w:szCs w:val="21"/>
        </w:rPr>
        <w:t>9.施工安全、治安保卫和环境保护</w:t>
      </w:r>
    </w:p>
    <w:p w14:paraId="4DE95662">
      <w:pPr>
        <w:tabs>
          <w:tab w:val="left" w:pos="3855"/>
        </w:tabs>
        <w:spacing w:line="360" w:lineRule="auto"/>
        <w:outlineLvl w:val="1"/>
        <w:rPr>
          <w:rFonts w:ascii="宋体" w:hAnsi="宋体" w:cs="宋体"/>
          <w:szCs w:val="21"/>
        </w:rPr>
      </w:pPr>
      <w:r>
        <w:rPr>
          <w:rFonts w:hint="eastAsia" w:ascii="宋体" w:hAnsi="宋体" w:cs="宋体"/>
          <w:szCs w:val="21"/>
        </w:rPr>
        <w:t>9.2承包人的施工安全责任</w:t>
      </w:r>
    </w:p>
    <w:p w14:paraId="0BA3CFB0">
      <w:pPr>
        <w:tabs>
          <w:tab w:val="left" w:pos="3855"/>
        </w:tabs>
        <w:spacing w:line="360" w:lineRule="auto"/>
        <w:outlineLvl w:val="2"/>
        <w:rPr>
          <w:rFonts w:ascii="宋体" w:hAnsi="宋体" w:cs="宋体"/>
          <w:szCs w:val="21"/>
        </w:rPr>
      </w:pPr>
      <w:r>
        <w:rPr>
          <w:rFonts w:hint="eastAsia" w:ascii="宋体" w:hAnsi="宋体" w:cs="宋体"/>
          <w:szCs w:val="21"/>
        </w:rPr>
        <w:t>9.2.1承包人向监理人报送施工安全措施计划的期限：</w:t>
      </w:r>
      <w:r>
        <w:rPr>
          <w:rFonts w:hint="eastAsia" w:ascii="宋体" w:hAnsi="宋体" w:cs="宋体"/>
          <w:szCs w:val="21"/>
          <w:u w:val="single"/>
        </w:rPr>
        <w:t>在收到监理人按照发出的开工通知后7天内。</w:t>
      </w:r>
      <w:r>
        <w:rPr>
          <w:rFonts w:hint="eastAsia" w:ascii="宋体" w:hAnsi="宋体" w:cs="宋体"/>
          <w:szCs w:val="21"/>
        </w:rPr>
        <w:fldChar w:fldCharType="begin"/>
      </w:r>
      <w:r>
        <w:rPr>
          <w:rFonts w:hint="eastAsia" w:ascii="宋体" w:hAnsi="宋体" w:cs="宋体"/>
          <w:szCs w:val="21"/>
        </w:rPr>
        <w:instrText xml:space="preserve"> AUTOTEXT  input465 \* MERGEFORMAT </w:instrText>
      </w:r>
      <w:r>
        <w:rPr>
          <w:rFonts w:hint="eastAsia" w:ascii="宋体" w:hAnsi="宋体" w:cs="宋体"/>
          <w:szCs w:val="21"/>
        </w:rPr>
        <w:fldChar w:fldCharType="end"/>
      </w:r>
    </w:p>
    <w:p w14:paraId="26633D80">
      <w:pPr>
        <w:tabs>
          <w:tab w:val="left" w:pos="3855"/>
        </w:tabs>
        <w:spacing w:line="360" w:lineRule="auto"/>
        <w:rPr>
          <w:rFonts w:ascii="宋体" w:hAnsi="宋体" w:cs="宋体"/>
          <w:szCs w:val="21"/>
        </w:rPr>
      </w:pPr>
      <w:r>
        <w:rPr>
          <w:rFonts w:hint="eastAsia" w:ascii="宋体" w:hAnsi="宋体" w:cs="宋体"/>
          <w:szCs w:val="21"/>
        </w:rPr>
        <w:t>监理人收到承包人报送的施工安全措施计划后应当在</w:t>
      </w:r>
      <w:r>
        <w:rPr>
          <w:rFonts w:hint="eastAsia" w:ascii="宋体" w:hAnsi="宋体" w:cs="宋体"/>
          <w:szCs w:val="21"/>
          <w:u w:val="single"/>
        </w:rPr>
        <w:t>7</w:t>
      </w:r>
      <w:r>
        <w:rPr>
          <w:rFonts w:hint="eastAsia" w:ascii="宋体" w:hAnsi="宋体" w:cs="宋体"/>
          <w:szCs w:val="21"/>
        </w:rPr>
        <w:fldChar w:fldCharType="begin"/>
      </w:r>
      <w:r>
        <w:rPr>
          <w:rFonts w:hint="eastAsia" w:ascii="宋体" w:hAnsi="宋体" w:cs="宋体"/>
          <w:szCs w:val="21"/>
        </w:rPr>
        <w:instrText xml:space="preserve"> AUTOTEXT  input466 \* MERGEFORMAT </w:instrText>
      </w:r>
      <w:r>
        <w:rPr>
          <w:rFonts w:hint="eastAsia" w:ascii="宋体" w:hAnsi="宋体" w:cs="宋体"/>
          <w:szCs w:val="21"/>
        </w:rPr>
        <w:fldChar w:fldCharType="end"/>
      </w:r>
      <w:r>
        <w:rPr>
          <w:rFonts w:hint="eastAsia" w:ascii="宋体" w:hAnsi="宋体" w:cs="宋体"/>
          <w:szCs w:val="21"/>
        </w:rPr>
        <w:t>天内给予批复。</w:t>
      </w:r>
    </w:p>
    <w:p w14:paraId="483B1192">
      <w:pPr>
        <w:tabs>
          <w:tab w:val="left" w:pos="3855"/>
        </w:tabs>
        <w:spacing w:line="360" w:lineRule="auto"/>
        <w:outlineLvl w:val="1"/>
        <w:rPr>
          <w:rFonts w:ascii="宋体" w:hAnsi="宋体" w:cs="宋体"/>
          <w:szCs w:val="21"/>
        </w:rPr>
      </w:pPr>
      <w:r>
        <w:rPr>
          <w:rFonts w:hint="eastAsia" w:ascii="宋体" w:hAnsi="宋体" w:cs="宋体"/>
          <w:szCs w:val="21"/>
        </w:rPr>
        <w:t>9.3治安保卫</w:t>
      </w:r>
    </w:p>
    <w:p w14:paraId="1D1DDF1D">
      <w:pPr>
        <w:tabs>
          <w:tab w:val="left" w:pos="3855"/>
        </w:tabs>
        <w:spacing w:line="360" w:lineRule="auto"/>
        <w:outlineLvl w:val="2"/>
        <w:rPr>
          <w:rFonts w:ascii="宋体" w:hAnsi="宋体" w:cs="宋体"/>
          <w:szCs w:val="21"/>
        </w:rPr>
      </w:pPr>
      <w:r>
        <w:rPr>
          <w:rFonts w:hint="eastAsia" w:ascii="宋体" w:hAnsi="宋体" w:cs="宋体"/>
          <w:szCs w:val="21"/>
        </w:rPr>
        <w:t>9.3.3制定施工场地治安管理计划和突发治安事件紧急预案的责任人：</w:t>
      </w:r>
      <w:r>
        <w:rPr>
          <w:rFonts w:hint="eastAsia" w:ascii="宋体" w:hAnsi="宋体" w:cs="宋体"/>
          <w:szCs w:val="21"/>
          <w:u w:val="single"/>
        </w:rPr>
        <w:t>承包人。</w:t>
      </w:r>
      <w:r>
        <w:rPr>
          <w:rFonts w:hint="eastAsia" w:ascii="宋体" w:hAnsi="宋体" w:cs="宋体"/>
          <w:szCs w:val="21"/>
        </w:rPr>
        <w:fldChar w:fldCharType="begin"/>
      </w:r>
      <w:r>
        <w:rPr>
          <w:rFonts w:hint="eastAsia" w:ascii="宋体" w:hAnsi="宋体" w:cs="宋体"/>
          <w:szCs w:val="21"/>
        </w:rPr>
        <w:instrText xml:space="preserve"> AUTOTEXT  input467 \* MERGEFORMAT </w:instrText>
      </w:r>
      <w:r>
        <w:rPr>
          <w:rFonts w:hint="eastAsia" w:ascii="宋体" w:hAnsi="宋体" w:cs="宋体"/>
          <w:szCs w:val="21"/>
        </w:rPr>
        <w:fldChar w:fldCharType="end"/>
      </w:r>
    </w:p>
    <w:p w14:paraId="1E05238B">
      <w:pPr>
        <w:tabs>
          <w:tab w:val="left" w:pos="3855"/>
        </w:tabs>
        <w:spacing w:line="360" w:lineRule="auto"/>
        <w:outlineLvl w:val="1"/>
        <w:rPr>
          <w:rFonts w:ascii="宋体" w:hAnsi="宋体" w:cs="宋体"/>
          <w:szCs w:val="21"/>
        </w:rPr>
      </w:pPr>
      <w:r>
        <w:rPr>
          <w:rFonts w:hint="eastAsia" w:ascii="宋体" w:hAnsi="宋体" w:cs="宋体"/>
          <w:szCs w:val="21"/>
        </w:rPr>
        <w:t>9.4环境保护</w:t>
      </w:r>
    </w:p>
    <w:p w14:paraId="46315454">
      <w:pPr>
        <w:tabs>
          <w:tab w:val="left" w:pos="3855"/>
        </w:tabs>
        <w:spacing w:line="360" w:lineRule="auto"/>
        <w:outlineLvl w:val="2"/>
        <w:rPr>
          <w:rFonts w:ascii="宋体" w:hAnsi="宋体" w:cs="宋体"/>
          <w:szCs w:val="21"/>
        </w:rPr>
      </w:pPr>
      <w:r>
        <w:rPr>
          <w:rFonts w:hint="eastAsia" w:ascii="宋体" w:hAnsi="宋体" w:cs="宋体"/>
          <w:szCs w:val="21"/>
        </w:rPr>
        <w:t>9.4.3施工环保措施计划报送监理人审批的时间：</w:t>
      </w:r>
      <w:r>
        <w:rPr>
          <w:rFonts w:hint="eastAsia" w:ascii="宋体" w:hAnsi="宋体" w:cs="宋体"/>
          <w:szCs w:val="21"/>
          <w:u w:val="single"/>
        </w:rPr>
        <w:t>签订合同后7天内。</w:t>
      </w:r>
      <w:r>
        <w:rPr>
          <w:rFonts w:hint="eastAsia" w:ascii="宋体" w:hAnsi="宋体" w:cs="宋体"/>
          <w:szCs w:val="21"/>
        </w:rPr>
        <w:fldChar w:fldCharType="begin"/>
      </w:r>
      <w:r>
        <w:rPr>
          <w:rFonts w:hint="eastAsia" w:ascii="宋体" w:hAnsi="宋体" w:cs="宋体"/>
          <w:szCs w:val="21"/>
        </w:rPr>
        <w:instrText xml:space="preserve"> AUTOTEXT  input468 \* MERGEFORMAT </w:instrText>
      </w:r>
      <w:r>
        <w:rPr>
          <w:rFonts w:hint="eastAsia" w:ascii="宋体" w:hAnsi="宋体" w:cs="宋体"/>
          <w:szCs w:val="21"/>
        </w:rPr>
        <w:fldChar w:fldCharType="end"/>
      </w:r>
    </w:p>
    <w:p w14:paraId="6D7CE345">
      <w:pPr>
        <w:tabs>
          <w:tab w:val="left" w:pos="3855"/>
        </w:tabs>
        <w:spacing w:line="360" w:lineRule="auto"/>
        <w:rPr>
          <w:rFonts w:ascii="宋体" w:hAnsi="宋体" w:cs="宋体"/>
          <w:szCs w:val="21"/>
        </w:rPr>
      </w:pPr>
      <w:r>
        <w:rPr>
          <w:rFonts w:hint="eastAsia" w:ascii="宋体" w:hAnsi="宋体" w:cs="宋体"/>
          <w:szCs w:val="21"/>
        </w:rPr>
        <w:t>监理人收到承包人报送的施工环保措施计划后应当在</w:t>
      </w:r>
      <w:r>
        <w:rPr>
          <w:rFonts w:hint="eastAsia" w:ascii="宋体" w:hAnsi="宋体" w:cs="宋体"/>
          <w:szCs w:val="21"/>
          <w:u w:val="single"/>
        </w:rPr>
        <w:t>7</w:t>
      </w:r>
      <w:r>
        <w:rPr>
          <w:rFonts w:hint="eastAsia" w:ascii="宋体" w:hAnsi="宋体" w:cs="宋体"/>
          <w:szCs w:val="21"/>
        </w:rPr>
        <w:fldChar w:fldCharType="begin"/>
      </w:r>
      <w:r>
        <w:rPr>
          <w:rFonts w:hint="eastAsia" w:ascii="宋体" w:hAnsi="宋体" w:cs="宋体"/>
          <w:szCs w:val="21"/>
        </w:rPr>
        <w:instrText xml:space="preserve"> AUTOTEXT  input469 \* MERGEFORMAT </w:instrText>
      </w:r>
      <w:r>
        <w:rPr>
          <w:rFonts w:hint="eastAsia" w:ascii="宋体" w:hAnsi="宋体" w:cs="宋体"/>
          <w:szCs w:val="21"/>
        </w:rPr>
        <w:fldChar w:fldCharType="end"/>
      </w:r>
      <w:r>
        <w:rPr>
          <w:rFonts w:hint="eastAsia" w:ascii="宋体" w:hAnsi="宋体" w:cs="宋体"/>
          <w:szCs w:val="21"/>
        </w:rPr>
        <w:t>天内给予批复。</w:t>
      </w:r>
    </w:p>
    <w:p w14:paraId="6B27B637">
      <w:pPr>
        <w:tabs>
          <w:tab w:val="left" w:pos="3855"/>
        </w:tabs>
        <w:spacing w:line="360" w:lineRule="auto"/>
        <w:outlineLvl w:val="1"/>
        <w:rPr>
          <w:rFonts w:ascii="宋体" w:hAnsi="宋体" w:cs="宋体"/>
          <w:szCs w:val="21"/>
        </w:rPr>
      </w:pPr>
      <w:r>
        <w:rPr>
          <w:rFonts w:hint="eastAsia" w:ascii="宋体" w:hAnsi="宋体" w:cs="宋体"/>
          <w:szCs w:val="21"/>
        </w:rPr>
        <w:t>9.6  施工现场安全生产标准化管理目标</w:t>
      </w:r>
    </w:p>
    <w:p w14:paraId="6D864866">
      <w:pPr>
        <w:tabs>
          <w:tab w:val="left" w:pos="3855"/>
        </w:tabs>
        <w:spacing w:line="360" w:lineRule="auto"/>
        <w:outlineLvl w:val="2"/>
        <w:rPr>
          <w:rFonts w:ascii="宋体" w:hAnsi="宋体" w:cs="宋体"/>
          <w:szCs w:val="21"/>
        </w:rPr>
      </w:pPr>
      <w:r>
        <w:rPr>
          <w:rFonts w:hint="eastAsia" w:ascii="宋体" w:hAnsi="宋体" w:cs="宋体"/>
          <w:szCs w:val="21"/>
        </w:rPr>
        <w:t>10.1.2承包人编制分阶段或分项施工进度计划和施工方案说明的内容及时限要求：</w:t>
      </w:r>
      <w:r>
        <w:rPr>
          <w:rFonts w:hint="eastAsia" w:ascii="宋体" w:hAnsi="宋体" w:cs="宋体"/>
          <w:szCs w:val="21"/>
          <w:u w:val="single"/>
        </w:rPr>
        <w:t>按监理人要求。</w:t>
      </w:r>
      <w:r>
        <w:rPr>
          <w:rFonts w:hint="eastAsia" w:ascii="宋体" w:hAnsi="宋体" w:cs="宋体"/>
          <w:szCs w:val="21"/>
        </w:rPr>
        <w:fldChar w:fldCharType="begin"/>
      </w:r>
      <w:r>
        <w:rPr>
          <w:rFonts w:hint="eastAsia" w:ascii="宋体" w:hAnsi="宋体" w:cs="宋体"/>
          <w:szCs w:val="21"/>
        </w:rPr>
        <w:instrText xml:space="preserve"> AUTOTEXT  input471 \* MERGEFORMAT </w:instrText>
      </w:r>
      <w:r>
        <w:rPr>
          <w:rFonts w:hint="eastAsia" w:ascii="宋体" w:hAnsi="宋体" w:cs="宋体"/>
          <w:szCs w:val="21"/>
        </w:rPr>
        <w:fldChar w:fldCharType="end"/>
      </w:r>
    </w:p>
    <w:p w14:paraId="53946AF6">
      <w:pPr>
        <w:tabs>
          <w:tab w:val="left" w:pos="3855"/>
        </w:tabs>
        <w:spacing w:line="360" w:lineRule="auto"/>
        <w:outlineLvl w:val="2"/>
        <w:rPr>
          <w:rFonts w:ascii="宋体" w:hAnsi="宋体" w:cs="宋体"/>
          <w:szCs w:val="21"/>
        </w:rPr>
      </w:pPr>
      <w:r>
        <w:rPr>
          <w:rFonts w:hint="eastAsia" w:ascii="宋体" w:hAnsi="宋体" w:cs="宋体"/>
          <w:szCs w:val="21"/>
        </w:rPr>
        <w:t>9.6.1未达到合同协议书中约定的安全生产标准化管理目标等级的违约金或损失赔偿金的金额或者计算方法：</w:t>
      </w:r>
      <w:r>
        <w:rPr>
          <w:rFonts w:hint="eastAsia" w:ascii="宋体" w:hAnsi="宋体" w:cs="宋体"/>
          <w:szCs w:val="21"/>
          <w:u w:val="single"/>
        </w:rPr>
        <w:t xml:space="preserve">A=（1-K1÷K2）×F </w:t>
      </w:r>
      <w:r>
        <w:rPr>
          <w:rFonts w:hint="eastAsia" w:ascii="宋体" w:hAnsi="宋体" w:cs="宋体"/>
          <w:szCs w:val="21"/>
          <w:u w:val="single"/>
        </w:rPr>
        <w:cr/>
      </w:r>
      <w:r>
        <w:rPr>
          <w:rFonts w:hint="eastAsia" w:ascii="宋体" w:hAnsi="宋体" w:cs="宋体"/>
          <w:szCs w:val="21"/>
          <w:u w:val="single"/>
        </w:rPr>
        <w:t>其中：A-按本办法规定计算的违约损失赔偿金</w:t>
      </w:r>
      <w:r>
        <w:rPr>
          <w:rFonts w:hint="eastAsia" w:ascii="宋体" w:hAnsi="宋体" w:cs="宋体"/>
          <w:szCs w:val="21"/>
          <w:u w:val="single"/>
        </w:rPr>
        <w:cr/>
      </w:r>
      <w:r>
        <w:rPr>
          <w:rFonts w:hint="eastAsia" w:ascii="宋体" w:hAnsi="宋体" w:cs="宋体"/>
          <w:szCs w:val="21"/>
          <w:u w:val="single"/>
        </w:rPr>
        <w:t>K1-标准化考评认定等级对应本办法规定的标准费率</w:t>
      </w:r>
      <w:r>
        <w:rPr>
          <w:rFonts w:hint="eastAsia" w:ascii="宋体" w:hAnsi="宋体" w:cs="宋体"/>
          <w:szCs w:val="21"/>
          <w:u w:val="single"/>
        </w:rPr>
        <w:cr/>
      </w:r>
      <w:r>
        <w:rPr>
          <w:rFonts w:hint="eastAsia" w:ascii="宋体" w:hAnsi="宋体" w:cs="宋体"/>
          <w:szCs w:val="21"/>
          <w:u w:val="single"/>
        </w:rPr>
        <w:t>K2-合同约定的管理目标等级对应本办法规定的标准费率</w:t>
      </w:r>
      <w:r>
        <w:rPr>
          <w:rFonts w:hint="eastAsia" w:ascii="宋体" w:hAnsi="宋体" w:cs="宋体"/>
          <w:szCs w:val="21"/>
          <w:u w:val="single"/>
        </w:rPr>
        <w:cr/>
      </w:r>
      <w:r>
        <w:rPr>
          <w:rFonts w:hint="eastAsia" w:ascii="宋体" w:hAnsi="宋体" w:cs="宋体"/>
          <w:szCs w:val="21"/>
          <w:u w:val="single"/>
        </w:rPr>
        <w:t>F-合同中载明的安全文明施工费总额</w:t>
      </w:r>
      <w:r>
        <w:rPr>
          <w:rFonts w:hint="eastAsia" w:ascii="宋体" w:hAnsi="宋体" w:cs="宋体"/>
          <w:szCs w:val="21"/>
        </w:rPr>
        <w:fldChar w:fldCharType="begin"/>
      </w:r>
      <w:r>
        <w:rPr>
          <w:rFonts w:hint="eastAsia" w:ascii="宋体" w:hAnsi="宋体" w:cs="宋体"/>
          <w:szCs w:val="21"/>
        </w:rPr>
        <w:instrText xml:space="preserve"> AUTOTEXT  input883 \* MERGEFORMAT </w:instrText>
      </w:r>
      <w:r>
        <w:rPr>
          <w:rFonts w:hint="eastAsia" w:ascii="宋体" w:hAnsi="宋体" w:cs="宋体"/>
          <w:szCs w:val="21"/>
        </w:rPr>
        <w:fldChar w:fldCharType="end"/>
      </w:r>
    </w:p>
    <w:p w14:paraId="7FD84D95">
      <w:pPr>
        <w:tabs>
          <w:tab w:val="left" w:pos="3855"/>
        </w:tabs>
        <w:spacing w:line="360" w:lineRule="auto"/>
        <w:outlineLvl w:val="2"/>
        <w:rPr>
          <w:rFonts w:ascii="宋体" w:hAnsi="宋体" w:cs="宋体"/>
          <w:szCs w:val="21"/>
        </w:rPr>
      </w:pPr>
      <w:r>
        <w:rPr>
          <w:rFonts w:hint="eastAsia" w:ascii="宋体" w:hAnsi="宋体" w:cs="宋体"/>
          <w:szCs w:val="21"/>
        </w:rPr>
        <w:t>9.6.2发包人</w:t>
      </w:r>
      <w:r>
        <w:rPr>
          <w:rFonts w:hint="eastAsia" w:ascii="宋体" w:hAnsi="宋体" w:cs="宋体"/>
          <w:szCs w:val="21"/>
          <w:u w:val="single"/>
        </w:rPr>
        <w:t>不给予</w:t>
      </w:r>
      <w:r>
        <w:rPr>
          <w:rFonts w:hint="eastAsia" w:ascii="宋体" w:hAnsi="宋体" w:cs="宋体"/>
          <w:szCs w:val="21"/>
        </w:rPr>
        <w:fldChar w:fldCharType="begin"/>
      </w:r>
      <w:r>
        <w:rPr>
          <w:rFonts w:hint="eastAsia" w:ascii="宋体" w:hAnsi="宋体" w:cs="宋体"/>
          <w:szCs w:val="21"/>
        </w:rPr>
        <w:instrText xml:space="preserve"> AUTOTEXT  input884 \* MERGEFORMAT </w:instrText>
      </w:r>
      <w:r>
        <w:rPr>
          <w:rFonts w:hint="eastAsia" w:ascii="宋体" w:hAnsi="宋体" w:cs="宋体"/>
          <w:szCs w:val="21"/>
        </w:rPr>
        <w:fldChar w:fldCharType="end"/>
      </w:r>
      <w:r>
        <w:rPr>
          <w:rFonts w:hint="eastAsia" w:ascii="宋体" w:hAnsi="宋体" w:cs="宋体"/>
          <w:szCs w:val="21"/>
        </w:rPr>
        <w:t>（给予/不给予）承包人创优奖励。发包人给予承包人创优奖励的，创优奖励金额或者计算方法：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input888 \* MERGEFORMAT </w:instrText>
      </w:r>
      <w:r>
        <w:rPr>
          <w:rFonts w:hint="eastAsia" w:ascii="宋体" w:hAnsi="宋体" w:cs="宋体"/>
          <w:szCs w:val="21"/>
        </w:rPr>
        <w:fldChar w:fldCharType="end"/>
      </w:r>
    </w:p>
    <w:p w14:paraId="282554C0">
      <w:pPr>
        <w:tabs>
          <w:tab w:val="left" w:pos="3855"/>
        </w:tabs>
        <w:spacing w:line="360" w:lineRule="auto"/>
        <w:outlineLvl w:val="1"/>
        <w:rPr>
          <w:rFonts w:ascii="宋体" w:hAnsi="宋体" w:cs="宋体"/>
          <w:szCs w:val="21"/>
        </w:rPr>
      </w:pPr>
      <w:r>
        <w:rPr>
          <w:rFonts w:hint="eastAsia" w:ascii="宋体" w:hAnsi="宋体" w:cs="宋体"/>
          <w:szCs w:val="21"/>
        </w:rPr>
        <w:t>9.7 特殊安全文明施工</w:t>
      </w:r>
    </w:p>
    <w:p w14:paraId="3B311AE6">
      <w:pPr>
        <w:tabs>
          <w:tab w:val="left" w:pos="3855"/>
        </w:tabs>
        <w:spacing w:line="360" w:lineRule="auto"/>
        <w:outlineLvl w:val="2"/>
        <w:rPr>
          <w:rFonts w:ascii="宋体" w:hAnsi="宋体" w:cs="宋体"/>
          <w:szCs w:val="21"/>
        </w:rPr>
      </w:pPr>
      <w:r>
        <w:rPr>
          <w:rFonts w:hint="eastAsia" w:ascii="宋体" w:hAnsi="宋体" w:cs="宋体"/>
          <w:szCs w:val="21"/>
        </w:rPr>
        <w:t>9.7.1 未达到合同约定的特殊安全文明施工要求的违约金或损失赔偿金的金额或者计算方法：</w:t>
      </w:r>
      <w:r>
        <w:rPr>
          <w:rFonts w:hint="eastAsia" w:ascii="宋体" w:hAnsi="宋体" w:cs="宋体"/>
          <w:szCs w:val="21"/>
          <w:u w:val="single"/>
        </w:rPr>
        <w:t>/</w:t>
      </w:r>
    </w:p>
    <w:p w14:paraId="65E1B887">
      <w:pPr>
        <w:tabs>
          <w:tab w:val="left" w:pos="3855"/>
        </w:tabs>
        <w:spacing w:line="360" w:lineRule="auto"/>
        <w:outlineLvl w:val="2"/>
        <w:rPr>
          <w:rFonts w:ascii="宋体" w:hAnsi="宋体" w:cs="宋体"/>
          <w:szCs w:val="21"/>
        </w:rPr>
      </w:pPr>
      <w:r>
        <w:rPr>
          <w:rFonts w:hint="eastAsia" w:ascii="宋体" w:hAnsi="宋体" w:cs="宋体"/>
          <w:szCs w:val="21"/>
        </w:rPr>
        <w:t>9.7.2  发包人</w:t>
      </w:r>
      <w:r>
        <w:rPr>
          <w:rFonts w:hint="eastAsia" w:ascii="宋体" w:hAnsi="宋体" w:cs="宋体"/>
          <w:szCs w:val="21"/>
          <w:u w:val="single"/>
        </w:rPr>
        <w:t>不给予</w:t>
      </w:r>
      <w:r>
        <w:rPr>
          <w:rFonts w:hint="eastAsia" w:ascii="宋体" w:hAnsi="宋体" w:cs="宋体"/>
          <w:szCs w:val="21"/>
        </w:rPr>
        <w:fldChar w:fldCharType="begin"/>
      </w:r>
      <w:r>
        <w:rPr>
          <w:rFonts w:hint="eastAsia" w:ascii="宋体" w:hAnsi="宋体" w:cs="宋体"/>
          <w:szCs w:val="21"/>
        </w:rPr>
        <w:instrText xml:space="preserve"> AUTOTEXT  input886 \* MERGEFORMAT </w:instrText>
      </w:r>
      <w:r>
        <w:rPr>
          <w:rFonts w:hint="eastAsia" w:ascii="宋体" w:hAnsi="宋体" w:cs="宋体"/>
          <w:szCs w:val="21"/>
        </w:rPr>
        <w:fldChar w:fldCharType="end"/>
      </w:r>
      <w:r>
        <w:rPr>
          <w:rFonts w:hint="eastAsia" w:ascii="宋体" w:hAnsi="宋体" w:cs="宋体"/>
          <w:szCs w:val="21"/>
        </w:rPr>
        <w:t>（给予/不给予）承包人创优奖励。发包人给予承包人创优奖励的，创优奖励金额或者计算方法：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input887 \* MERGEFORMAT </w:instrText>
      </w:r>
      <w:r>
        <w:rPr>
          <w:rFonts w:hint="eastAsia" w:ascii="宋体" w:hAnsi="宋体" w:cs="宋体"/>
          <w:szCs w:val="21"/>
        </w:rPr>
        <w:fldChar w:fldCharType="end"/>
      </w:r>
      <w:r>
        <w:rPr>
          <w:rFonts w:hint="eastAsia" w:ascii="宋体" w:hAnsi="宋体" w:cs="宋体"/>
          <w:szCs w:val="21"/>
        </w:rPr>
        <w:t xml:space="preserve">                                                                               </w:t>
      </w:r>
    </w:p>
    <w:p w14:paraId="1F70FE1E">
      <w:pPr>
        <w:tabs>
          <w:tab w:val="left" w:pos="3855"/>
        </w:tabs>
        <w:spacing w:line="360" w:lineRule="auto"/>
        <w:outlineLvl w:val="0"/>
        <w:rPr>
          <w:rFonts w:ascii="宋体" w:hAnsi="宋体" w:cs="宋体"/>
          <w:szCs w:val="21"/>
        </w:rPr>
      </w:pPr>
      <w:r>
        <w:rPr>
          <w:rFonts w:hint="eastAsia" w:ascii="宋体" w:hAnsi="宋体" w:cs="宋体"/>
          <w:szCs w:val="21"/>
        </w:rPr>
        <w:t>10.进度计划</w:t>
      </w:r>
    </w:p>
    <w:p w14:paraId="4CD18E07">
      <w:pPr>
        <w:tabs>
          <w:tab w:val="left" w:pos="3855"/>
        </w:tabs>
        <w:spacing w:line="360" w:lineRule="auto"/>
        <w:outlineLvl w:val="1"/>
        <w:rPr>
          <w:rFonts w:ascii="宋体" w:hAnsi="宋体" w:cs="宋体"/>
          <w:szCs w:val="21"/>
        </w:rPr>
      </w:pPr>
      <w:r>
        <w:rPr>
          <w:rFonts w:hint="eastAsia" w:ascii="宋体" w:hAnsi="宋体" w:cs="宋体"/>
          <w:szCs w:val="21"/>
        </w:rPr>
        <w:t>10.1合同进度计划</w:t>
      </w:r>
    </w:p>
    <w:p w14:paraId="1E42872D">
      <w:pPr>
        <w:tabs>
          <w:tab w:val="left" w:pos="3855"/>
        </w:tabs>
        <w:spacing w:line="360" w:lineRule="auto"/>
        <w:outlineLvl w:val="2"/>
        <w:rPr>
          <w:rFonts w:ascii="宋体" w:hAnsi="宋体" w:cs="宋体"/>
          <w:szCs w:val="21"/>
        </w:rPr>
      </w:pPr>
      <w:r>
        <w:rPr>
          <w:rFonts w:hint="eastAsia" w:ascii="宋体" w:hAnsi="宋体" w:cs="宋体"/>
          <w:szCs w:val="21"/>
        </w:rPr>
        <w:t>10.1.1承包人编制施工进度计划和施工方案说明的内容：</w:t>
      </w:r>
      <w:r>
        <w:rPr>
          <w:rFonts w:hint="eastAsia" w:ascii="宋体" w:hAnsi="宋体" w:cs="宋体"/>
          <w:szCs w:val="21"/>
          <w:u w:val="single"/>
        </w:rPr>
        <w:t>承包人应当按投标报价阶段承诺的总进度计划关键线路目标，以及施工顺序和方法要点，向监理人提交更准确更详细的施工进度计划和施工方案。</w:t>
      </w:r>
      <w:r>
        <w:rPr>
          <w:rFonts w:hint="eastAsia" w:ascii="宋体" w:hAnsi="宋体" w:cs="宋体"/>
          <w:szCs w:val="21"/>
        </w:rPr>
        <w:fldChar w:fldCharType="begin"/>
      </w:r>
      <w:r>
        <w:rPr>
          <w:rFonts w:hint="eastAsia" w:ascii="宋体" w:hAnsi="宋体" w:cs="宋体"/>
          <w:szCs w:val="21"/>
        </w:rPr>
        <w:instrText xml:space="preserve"> AUTOTEXT  input470 \* MERGEFORMAT </w:instrText>
      </w:r>
      <w:r>
        <w:rPr>
          <w:rFonts w:hint="eastAsia" w:ascii="宋体" w:hAnsi="宋体" w:cs="宋体"/>
          <w:szCs w:val="21"/>
        </w:rPr>
        <w:fldChar w:fldCharType="end"/>
      </w:r>
    </w:p>
    <w:p w14:paraId="79487AA6">
      <w:pPr>
        <w:tabs>
          <w:tab w:val="left" w:pos="3855"/>
        </w:tabs>
        <w:spacing w:line="360" w:lineRule="auto"/>
        <w:outlineLvl w:val="2"/>
        <w:rPr>
          <w:rFonts w:ascii="宋体" w:hAnsi="宋体" w:cs="宋体"/>
          <w:szCs w:val="21"/>
        </w:rPr>
      </w:pPr>
      <w:r>
        <w:rPr>
          <w:rFonts w:hint="eastAsia" w:ascii="宋体" w:hAnsi="宋体" w:cs="宋体"/>
          <w:szCs w:val="21"/>
        </w:rPr>
        <w:t>10.1.3群体工程中有关编制进度计划和施工方案说明的要求：</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input473 \* MERGEFORMAT </w:instrText>
      </w:r>
      <w:r>
        <w:rPr>
          <w:rFonts w:hint="eastAsia" w:ascii="宋体" w:hAnsi="宋体" w:cs="宋体"/>
          <w:szCs w:val="21"/>
        </w:rPr>
        <w:fldChar w:fldCharType="end"/>
      </w:r>
    </w:p>
    <w:p w14:paraId="6C962012">
      <w:pPr>
        <w:tabs>
          <w:tab w:val="left" w:pos="3855"/>
        </w:tabs>
        <w:spacing w:line="360" w:lineRule="auto"/>
        <w:outlineLvl w:val="1"/>
        <w:rPr>
          <w:rFonts w:ascii="宋体" w:hAnsi="宋体" w:cs="宋体"/>
          <w:szCs w:val="21"/>
        </w:rPr>
      </w:pPr>
      <w:r>
        <w:rPr>
          <w:rFonts w:hint="eastAsia" w:ascii="宋体" w:hAnsi="宋体" w:cs="宋体"/>
          <w:szCs w:val="21"/>
        </w:rPr>
        <w:t>10.2合同进度计划的修订</w:t>
      </w:r>
    </w:p>
    <w:p w14:paraId="565956C9">
      <w:pPr>
        <w:tabs>
          <w:tab w:val="left" w:pos="3855"/>
        </w:tabs>
        <w:spacing w:line="360" w:lineRule="auto"/>
        <w:outlineLvl w:val="2"/>
        <w:rPr>
          <w:rFonts w:ascii="宋体" w:hAnsi="宋体" w:cs="宋体"/>
          <w:szCs w:val="21"/>
        </w:rPr>
      </w:pPr>
      <w:r>
        <w:rPr>
          <w:rFonts w:hint="eastAsia" w:ascii="宋体" w:hAnsi="宋体" w:cs="宋体"/>
          <w:szCs w:val="21"/>
        </w:rPr>
        <w:t>10.2.1承包人报送修订合同进度计划申请报告和相关资料的期限：</w:t>
      </w:r>
      <w:r>
        <w:rPr>
          <w:rFonts w:hint="eastAsia" w:ascii="宋体" w:hAnsi="宋体" w:cs="宋体"/>
          <w:szCs w:val="21"/>
          <w:u w:val="single"/>
        </w:rPr>
        <w:t>签订合同后7天内。</w:t>
      </w:r>
      <w:r>
        <w:rPr>
          <w:rFonts w:hint="eastAsia" w:ascii="宋体" w:hAnsi="宋体" w:cs="宋体"/>
          <w:szCs w:val="21"/>
        </w:rPr>
        <w:fldChar w:fldCharType="begin"/>
      </w:r>
      <w:r>
        <w:rPr>
          <w:rFonts w:hint="eastAsia" w:ascii="宋体" w:hAnsi="宋体" w:cs="宋体"/>
          <w:szCs w:val="21"/>
        </w:rPr>
        <w:instrText xml:space="preserve"> AUTOTEXT  input474 \* MERGEFORMAT </w:instrText>
      </w:r>
      <w:r>
        <w:rPr>
          <w:rFonts w:hint="eastAsia" w:ascii="宋体" w:hAnsi="宋体" w:cs="宋体"/>
          <w:szCs w:val="21"/>
        </w:rPr>
        <w:fldChar w:fldCharType="end"/>
      </w:r>
    </w:p>
    <w:p w14:paraId="3C634DCA">
      <w:pPr>
        <w:tabs>
          <w:tab w:val="left" w:pos="3855"/>
        </w:tabs>
        <w:spacing w:line="360" w:lineRule="auto"/>
        <w:rPr>
          <w:rFonts w:ascii="宋体" w:hAnsi="宋体" w:cs="宋体"/>
          <w:szCs w:val="21"/>
        </w:rPr>
      </w:pPr>
      <w:r>
        <w:rPr>
          <w:rFonts w:hint="eastAsia" w:ascii="宋体" w:hAnsi="宋体" w:cs="宋体"/>
          <w:szCs w:val="21"/>
        </w:rPr>
        <w:t>监理人批复修订合同进度计划申请报告的期限：</w:t>
      </w:r>
      <w:r>
        <w:rPr>
          <w:rFonts w:hint="eastAsia" w:ascii="宋体" w:hAnsi="宋体" w:cs="宋体"/>
          <w:szCs w:val="21"/>
          <w:u w:val="single"/>
        </w:rPr>
        <w:t>收到承包人报送的修订合同进度计划申请报告和相关资料后7天内。</w:t>
      </w:r>
      <w:r>
        <w:rPr>
          <w:rFonts w:hint="eastAsia" w:ascii="宋体" w:hAnsi="宋体" w:cs="宋体"/>
          <w:szCs w:val="21"/>
        </w:rPr>
        <w:fldChar w:fldCharType="begin"/>
      </w:r>
      <w:r>
        <w:rPr>
          <w:rFonts w:hint="eastAsia" w:ascii="宋体" w:hAnsi="宋体" w:cs="宋体"/>
          <w:szCs w:val="21"/>
        </w:rPr>
        <w:instrText xml:space="preserve"> AUTOTEXT  input475 \* MERGEFORMAT </w:instrText>
      </w:r>
      <w:r>
        <w:rPr>
          <w:rFonts w:hint="eastAsia" w:ascii="宋体" w:hAnsi="宋体" w:cs="宋体"/>
          <w:szCs w:val="21"/>
        </w:rPr>
        <w:fldChar w:fldCharType="end"/>
      </w:r>
    </w:p>
    <w:p w14:paraId="48AC0005">
      <w:pPr>
        <w:tabs>
          <w:tab w:val="left" w:pos="3855"/>
        </w:tabs>
        <w:spacing w:line="360" w:lineRule="auto"/>
        <w:outlineLvl w:val="2"/>
        <w:rPr>
          <w:rFonts w:ascii="宋体" w:hAnsi="宋体" w:cs="宋体"/>
          <w:szCs w:val="21"/>
        </w:rPr>
      </w:pPr>
      <w:r>
        <w:rPr>
          <w:rFonts w:hint="eastAsia" w:ascii="宋体" w:hAnsi="宋体" w:cs="宋体"/>
          <w:szCs w:val="21"/>
        </w:rPr>
        <w:t>10.2.2监理人批复修订合同进度计划的期限：</w:t>
      </w:r>
      <w:r>
        <w:rPr>
          <w:rFonts w:hint="eastAsia" w:ascii="宋体" w:hAnsi="宋体" w:cs="宋体"/>
          <w:szCs w:val="21"/>
          <w:u w:val="single"/>
        </w:rPr>
        <w:t>签订合同后7天内。</w:t>
      </w:r>
      <w:r>
        <w:rPr>
          <w:rFonts w:hint="eastAsia" w:ascii="宋体" w:hAnsi="宋体" w:cs="宋体"/>
          <w:szCs w:val="21"/>
        </w:rPr>
        <w:fldChar w:fldCharType="begin"/>
      </w:r>
      <w:r>
        <w:rPr>
          <w:rFonts w:hint="eastAsia" w:ascii="宋体" w:hAnsi="宋体" w:cs="宋体"/>
          <w:szCs w:val="21"/>
        </w:rPr>
        <w:instrText xml:space="preserve"> AUTOTEXT  input476 \* MERGEFORMAT </w:instrText>
      </w:r>
      <w:r>
        <w:rPr>
          <w:rFonts w:hint="eastAsia" w:ascii="宋体" w:hAnsi="宋体" w:cs="宋体"/>
          <w:szCs w:val="21"/>
        </w:rPr>
        <w:fldChar w:fldCharType="end"/>
      </w:r>
    </w:p>
    <w:p w14:paraId="09899E28">
      <w:pPr>
        <w:tabs>
          <w:tab w:val="left" w:pos="3855"/>
        </w:tabs>
        <w:spacing w:line="360" w:lineRule="auto"/>
        <w:outlineLvl w:val="0"/>
        <w:rPr>
          <w:rFonts w:ascii="宋体" w:hAnsi="宋体" w:cs="宋体"/>
          <w:szCs w:val="21"/>
        </w:rPr>
      </w:pPr>
      <w:r>
        <w:rPr>
          <w:rFonts w:hint="eastAsia" w:ascii="宋体" w:hAnsi="宋体" w:cs="宋体"/>
          <w:szCs w:val="21"/>
        </w:rPr>
        <w:t>11.开工和竣工</w:t>
      </w:r>
    </w:p>
    <w:p w14:paraId="7F850BF1">
      <w:pPr>
        <w:tabs>
          <w:tab w:val="left" w:pos="3855"/>
        </w:tabs>
        <w:spacing w:line="360" w:lineRule="auto"/>
        <w:outlineLvl w:val="1"/>
        <w:rPr>
          <w:rFonts w:ascii="宋体" w:hAnsi="宋体" w:cs="宋体"/>
          <w:szCs w:val="21"/>
        </w:rPr>
      </w:pPr>
      <w:r>
        <w:rPr>
          <w:rFonts w:hint="eastAsia" w:ascii="宋体" w:hAnsi="宋体" w:cs="宋体"/>
          <w:szCs w:val="21"/>
        </w:rPr>
        <w:t>11.3发包人的工期延误</w:t>
      </w:r>
    </w:p>
    <w:p w14:paraId="2E280B39">
      <w:pPr>
        <w:tabs>
          <w:tab w:val="left" w:pos="3855"/>
        </w:tabs>
        <w:spacing w:line="360" w:lineRule="auto"/>
        <w:rPr>
          <w:rFonts w:ascii="宋体" w:hAnsi="宋体" w:cs="宋体"/>
          <w:szCs w:val="21"/>
        </w:rPr>
      </w:pPr>
      <w:r>
        <w:rPr>
          <w:rFonts w:hint="eastAsia" w:ascii="宋体" w:hAnsi="宋体" w:cs="宋体"/>
          <w:szCs w:val="21"/>
        </w:rPr>
        <w:t>(8)发包人造成工期延误的其他原因：</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input477 \* MERGEFORMAT </w:instrText>
      </w:r>
      <w:r>
        <w:rPr>
          <w:rFonts w:hint="eastAsia" w:ascii="宋体" w:hAnsi="宋体" w:cs="宋体"/>
          <w:szCs w:val="21"/>
        </w:rPr>
        <w:fldChar w:fldCharType="end"/>
      </w:r>
    </w:p>
    <w:p w14:paraId="5143481F">
      <w:pPr>
        <w:tabs>
          <w:tab w:val="left" w:pos="3855"/>
        </w:tabs>
        <w:spacing w:line="360" w:lineRule="auto"/>
        <w:outlineLvl w:val="1"/>
        <w:rPr>
          <w:rFonts w:ascii="宋体" w:hAnsi="宋体" w:cs="宋体"/>
          <w:szCs w:val="21"/>
        </w:rPr>
      </w:pPr>
      <w:r>
        <w:rPr>
          <w:rFonts w:hint="eastAsia" w:ascii="宋体" w:hAnsi="宋体" w:cs="宋体"/>
          <w:szCs w:val="21"/>
        </w:rPr>
        <w:t>11.4异常恶劣的气候条件</w:t>
      </w:r>
    </w:p>
    <w:p w14:paraId="1D32B2DE">
      <w:pPr>
        <w:tabs>
          <w:tab w:val="left" w:pos="3855"/>
        </w:tabs>
        <w:spacing w:line="360" w:lineRule="auto"/>
        <w:rPr>
          <w:rFonts w:ascii="宋体" w:hAnsi="宋体" w:cs="宋体"/>
          <w:szCs w:val="21"/>
        </w:rPr>
      </w:pPr>
      <w:r>
        <w:rPr>
          <w:rFonts w:hint="eastAsia" w:ascii="宋体" w:hAnsi="宋体" w:cs="宋体"/>
          <w:szCs w:val="21"/>
        </w:rPr>
        <w:t>异常恶劣的气候条件的范围和标准：</w:t>
      </w:r>
      <w:r>
        <w:rPr>
          <w:rFonts w:hint="eastAsia" w:ascii="宋体" w:hAnsi="宋体" w:cs="宋体"/>
          <w:szCs w:val="21"/>
          <w:u w:val="single"/>
        </w:rPr>
        <w:t xml:space="preserve">20年一遇的最大降水（雪）量、最高（低）温度，七级以上地震且持续24小时以上，洪水、空中飞物坠落等 </w:t>
      </w:r>
    </w:p>
    <w:p w14:paraId="3D04ADD0">
      <w:pPr>
        <w:tabs>
          <w:tab w:val="left" w:pos="3855"/>
        </w:tabs>
        <w:spacing w:line="360" w:lineRule="auto"/>
        <w:outlineLvl w:val="1"/>
        <w:rPr>
          <w:rFonts w:ascii="宋体" w:hAnsi="宋体" w:cs="宋体"/>
          <w:szCs w:val="21"/>
        </w:rPr>
      </w:pPr>
      <w:r>
        <w:rPr>
          <w:rFonts w:hint="eastAsia" w:ascii="宋体" w:hAnsi="宋体" w:cs="宋体"/>
          <w:szCs w:val="21"/>
        </w:rPr>
        <w:t>11.5承包人的工期延误</w:t>
      </w:r>
    </w:p>
    <w:p w14:paraId="778CE31E">
      <w:pPr>
        <w:tabs>
          <w:tab w:val="left" w:pos="3855"/>
        </w:tabs>
        <w:spacing w:line="360" w:lineRule="auto"/>
        <w:outlineLvl w:val="2"/>
        <w:rPr>
          <w:rFonts w:ascii="宋体" w:hAnsi="宋体" w:cs="宋体"/>
          <w:szCs w:val="21"/>
        </w:rPr>
      </w:pPr>
      <w:r>
        <w:rPr>
          <w:rFonts w:hint="eastAsia" w:ascii="宋体" w:hAnsi="宋体" w:cs="宋体"/>
          <w:szCs w:val="21"/>
        </w:rPr>
        <w:t>11.5.2逾期竣工违约金的计算标准和计算方法：</w:t>
      </w:r>
      <w:r>
        <w:rPr>
          <w:rFonts w:hint="eastAsia" w:ascii="宋体" w:hAnsi="宋体" w:cs="宋体"/>
          <w:szCs w:val="21"/>
          <w:u w:val="single"/>
        </w:rPr>
        <w:t>签约合同价款的0.2‰/天，不足一天按一天计，按逾期天数累计计算。</w:t>
      </w:r>
      <w:r>
        <w:rPr>
          <w:rFonts w:hint="eastAsia" w:ascii="宋体" w:hAnsi="宋体" w:cs="宋体"/>
          <w:szCs w:val="21"/>
        </w:rPr>
        <w:fldChar w:fldCharType="begin"/>
      </w:r>
      <w:r>
        <w:rPr>
          <w:rFonts w:hint="eastAsia" w:ascii="宋体" w:hAnsi="宋体" w:cs="宋体"/>
          <w:szCs w:val="21"/>
        </w:rPr>
        <w:instrText xml:space="preserve"> AUTOTEXT  input479 \* MERGEFORMAT </w:instrText>
      </w:r>
      <w:r>
        <w:rPr>
          <w:rFonts w:hint="eastAsia" w:ascii="宋体" w:hAnsi="宋体" w:cs="宋体"/>
          <w:szCs w:val="21"/>
        </w:rPr>
        <w:fldChar w:fldCharType="end"/>
      </w:r>
    </w:p>
    <w:p w14:paraId="72F1FEF1">
      <w:pPr>
        <w:tabs>
          <w:tab w:val="left" w:pos="3855"/>
        </w:tabs>
        <w:spacing w:line="360" w:lineRule="auto"/>
        <w:rPr>
          <w:rFonts w:ascii="宋体" w:hAnsi="宋体" w:cs="宋体"/>
          <w:szCs w:val="21"/>
        </w:rPr>
      </w:pPr>
      <w:r>
        <w:rPr>
          <w:rFonts w:hint="eastAsia" w:ascii="宋体" w:hAnsi="宋体" w:cs="宋体"/>
          <w:szCs w:val="21"/>
        </w:rPr>
        <w:t>逾期竣工违约金最高限额：</w:t>
      </w:r>
      <w:r>
        <w:rPr>
          <w:rFonts w:hint="eastAsia" w:ascii="宋体" w:hAnsi="宋体" w:cs="宋体"/>
          <w:szCs w:val="21"/>
          <w:u w:val="single"/>
        </w:rPr>
        <w:t>最高不能超过签约合同价格的3%</w:t>
      </w:r>
      <w:r>
        <w:rPr>
          <w:rFonts w:hint="eastAsia" w:ascii="宋体" w:hAnsi="宋体" w:cs="宋体"/>
          <w:szCs w:val="21"/>
        </w:rPr>
        <w:fldChar w:fldCharType="begin"/>
      </w:r>
      <w:r>
        <w:rPr>
          <w:rFonts w:hint="eastAsia" w:ascii="宋体" w:hAnsi="宋体" w:cs="宋体"/>
          <w:szCs w:val="21"/>
        </w:rPr>
        <w:instrText xml:space="preserve"> AUTOTEXT  input481 \* MERGEFORMAT </w:instrText>
      </w:r>
      <w:r>
        <w:rPr>
          <w:rFonts w:hint="eastAsia" w:ascii="宋体" w:hAnsi="宋体" w:cs="宋体"/>
          <w:szCs w:val="21"/>
        </w:rPr>
        <w:fldChar w:fldCharType="end"/>
      </w:r>
    </w:p>
    <w:p w14:paraId="48CE45EE">
      <w:pPr>
        <w:tabs>
          <w:tab w:val="left" w:pos="3855"/>
        </w:tabs>
        <w:spacing w:line="360" w:lineRule="auto"/>
        <w:outlineLvl w:val="1"/>
        <w:rPr>
          <w:rFonts w:ascii="宋体" w:hAnsi="宋体" w:cs="宋体"/>
          <w:szCs w:val="21"/>
        </w:rPr>
      </w:pPr>
      <w:r>
        <w:rPr>
          <w:rFonts w:hint="eastAsia" w:ascii="宋体" w:hAnsi="宋体" w:cs="宋体"/>
          <w:szCs w:val="21"/>
        </w:rPr>
        <w:t>11.6工期提前</w:t>
      </w:r>
    </w:p>
    <w:p w14:paraId="2C5DA855">
      <w:pPr>
        <w:tabs>
          <w:tab w:val="left" w:pos="3855"/>
        </w:tabs>
        <w:spacing w:line="360" w:lineRule="auto"/>
        <w:rPr>
          <w:rFonts w:ascii="宋体" w:hAnsi="宋体" w:cs="宋体"/>
          <w:szCs w:val="21"/>
        </w:rPr>
      </w:pPr>
      <w:r>
        <w:rPr>
          <w:rFonts w:hint="eastAsia" w:ascii="宋体" w:hAnsi="宋体" w:cs="宋体"/>
          <w:szCs w:val="21"/>
        </w:rPr>
        <w:t>提前竣工的奖励办法：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input482 \* MERGEFORMAT </w:instrText>
      </w:r>
      <w:r>
        <w:rPr>
          <w:rFonts w:hint="eastAsia" w:ascii="宋体" w:hAnsi="宋体" w:cs="宋体"/>
          <w:szCs w:val="21"/>
        </w:rPr>
        <w:fldChar w:fldCharType="end"/>
      </w:r>
    </w:p>
    <w:p w14:paraId="200F9BCC">
      <w:pPr>
        <w:tabs>
          <w:tab w:val="left" w:pos="3855"/>
        </w:tabs>
        <w:spacing w:line="360" w:lineRule="auto"/>
        <w:outlineLvl w:val="0"/>
        <w:rPr>
          <w:rFonts w:ascii="宋体" w:hAnsi="宋体" w:cs="宋体"/>
          <w:szCs w:val="21"/>
        </w:rPr>
      </w:pPr>
      <w:r>
        <w:rPr>
          <w:rFonts w:hint="eastAsia" w:ascii="宋体" w:hAnsi="宋体" w:cs="宋体"/>
          <w:szCs w:val="21"/>
        </w:rPr>
        <w:t>12.暂停施工</w:t>
      </w:r>
    </w:p>
    <w:p w14:paraId="11D8AF90">
      <w:pPr>
        <w:tabs>
          <w:tab w:val="left" w:pos="3855"/>
        </w:tabs>
        <w:spacing w:line="360" w:lineRule="auto"/>
        <w:rPr>
          <w:rFonts w:ascii="宋体" w:hAnsi="宋体" w:cs="宋体"/>
          <w:szCs w:val="21"/>
        </w:rPr>
      </w:pPr>
      <w:r>
        <w:rPr>
          <w:rFonts w:hint="eastAsia" w:ascii="宋体" w:hAnsi="宋体" w:cs="宋体"/>
          <w:szCs w:val="21"/>
        </w:rPr>
        <w:t>12.1承包人暂停施工的责任：暂停施工承担违约金的计算标准和计算方法：</w:t>
      </w:r>
      <w:r>
        <w:rPr>
          <w:rFonts w:hint="eastAsia" w:ascii="宋体" w:hAnsi="宋体" w:cs="宋体"/>
          <w:szCs w:val="21"/>
          <w:u w:val="single"/>
        </w:rPr>
        <w:t>签约合同价款的0.2‰/天，不足一天按一天计，按暂停施工天数累计计算。</w:t>
      </w:r>
      <w:r>
        <w:rPr>
          <w:rFonts w:hint="eastAsia" w:ascii="宋体" w:hAnsi="宋体" w:cs="宋体"/>
          <w:szCs w:val="21"/>
        </w:rPr>
        <w:fldChar w:fldCharType="begin"/>
      </w:r>
      <w:r>
        <w:rPr>
          <w:rFonts w:hint="eastAsia" w:ascii="宋体" w:hAnsi="宋体" w:cs="宋体"/>
          <w:szCs w:val="21"/>
        </w:rPr>
        <w:instrText xml:space="preserve"> AUTOTEXT  input479 \* MERGEFORMAT </w:instrText>
      </w:r>
      <w:r>
        <w:rPr>
          <w:rFonts w:hint="eastAsia" w:ascii="宋体" w:hAnsi="宋体" w:cs="宋体"/>
          <w:szCs w:val="21"/>
        </w:rPr>
        <w:fldChar w:fldCharType="end"/>
      </w:r>
    </w:p>
    <w:p w14:paraId="40D3E19B">
      <w:pPr>
        <w:tabs>
          <w:tab w:val="left" w:pos="3855"/>
        </w:tabs>
        <w:spacing w:line="360" w:lineRule="auto"/>
        <w:rPr>
          <w:rFonts w:ascii="宋体" w:hAnsi="宋体" w:cs="宋体"/>
          <w:szCs w:val="21"/>
        </w:rPr>
      </w:pPr>
      <w:r>
        <w:rPr>
          <w:rFonts w:hint="eastAsia" w:ascii="宋体" w:hAnsi="宋体" w:cs="宋体"/>
          <w:szCs w:val="21"/>
        </w:rPr>
        <w:t>(4)承包人承担暂停施工责任的其他情形：</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input483 \* MERGEFORMAT </w:instrText>
      </w:r>
      <w:r>
        <w:rPr>
          <w:rFonts w:hint="eastAsia" w:ascii="宋体" w:hAnsi="宋体" w:cs="宋体"/>
          <w:szCs w:val="21"/>
        </w:rPr>
        <w:fldChar w:fldCharType="end"/>
      </w:r>
    </w:p>
    <w:p w14:paraId="1B82DD4A">
      <w:pPr>
        <w:tabs>
          <w:tab w:val="left" w:pos="3855"/>
        </w:tabs>
        <w:spacing w:line="360" w:lineRule="auto"/>
        <w:outlineLvl w:val="0"/>
        <w:rPr>
          <w:rFonts w:ascii="宋体" w:hAnsi="宋体" w:cs="宋体"/>
          <w:szCs w:val="21"/>
        </w:rPr>
      </w:pPr>
      <w:r>
        <w:rPr>
          <w:rFonts w:hint="eastAsia" w:ascii="宋体" w:hAnsi="宋体" w:cs="宋体"/>
          <w:szCs w:val="21"/>
        </w:rPr>
        <w:t>13.工程质量</w:t>
      </w:r>
    </w:p>
    <w:p w14:paraId="06701B88">
      <w:pPr>
        <w:tabs>
          <w:tab w:val="left" w:pos="3855"/>
        </w:tabs>
        <w:spacing w:line="360" w:lineRule="auto"/>
        <w:outlineLvl w:val="1"/>
        <w:rPr>
          <w:rFonts w:ascii="宋体" w:hAnsi="宋体" w:cs="宋体"/>
          <w:szCs w:val="21"/>
        </w:rPr>
      </w:pPr>
      <w:r>
        <w:rPr>
          <w:rFonts w:hint="eastAsia" w:ascii="宋体" w:hAnsi="宋体" w:cs="宋体"/>
          <w:szCs w:val="21"/>
        </w:rPr>
        <w:t>13.2承包人的质量管理</w:t>
      </w:r>
    </w:p>
    <w:p w14:paraId="15DCD400">
      <w:pPr>
        <w:tabs>
          <w:tab w:val="left" w:pos="3855"/>
        </w:tabs>
        <w:spacing w:line="360" w:lineRule="auto"/>
        <w:outlineLvl w:val="2"/>
        <w:rPr>
          <w:rFonts w:ascii="宋体" w:hAnsi="宋体" w:cs="宋体"/>
          <w:szCs w:val="21"/>
        </w:rPr>
      </w:pPr>
      <w:r>
        <w:rPr>
          <w:rFonts w:hint="eastAsia" w:ascii="宋体" w:hAnsi="宋体" w:cs="宋体"/>
          <w:szCs w:val="21"/>
        </w:rPr>
        <w:t>13.2.1承包人向监理人提交工程质量保证措施文件的期限：</w:t>
      </w:r>
      <w:r>
        <w:rPr>
          <w:rFonts w:hint="eastAsia" w:ascii="宋体" w:hAnsi="宋体" w:cs="宋体"/>
          <w:szCs w:val="21"/>
          <w:u w:val="single"/>
        </w:rPr>
        <w:t>签订合同后7天内。</w:t>
      </w:r>
      <w:r>
        <w:rPr>
          <w:rFonts w:hint="eastAsia" w:ascii="宋体" w:hAnsi="宋体" w:cs="宋体"/>
          <w:szCs w:val="21"/>
        </w:rPr>
        <w:fldChar w:fldCharType="begin"/>
      </w:r>
      <w:r>
        <w:rPr>
          <w:rFonts w:hint="eastAsia" w:ascii="宋体" w:hAnsi="宋体" w:cs="宋体"/>
          <w:szCs w:val="21"/>
        </w:rPr>
        <w:instrText xml:space="preserve"> AUTOTEXT  input484 \* MERGEFORMAT </w:instrText>
      </w:r>
      <w:r>
        <w:rPr>
          <w:rFonts w:hint="eastAsia" w:ascii="宋体" w:hAnsi="宋体" w:cs="宋体"/>
          <w:szCs w:val="21"/>
        </w:rPr>
        <w:fldChar w:fldCharType="end"/>
      </w:r>
    </w:p>
    <w:p w14:paraId="53BDC231">
      <w:pPr>
        <w:tabs>
          <w:tab w:val="left" w:pos="3855"/>
        </w:tabs>
        <w:spacing w:line="360" w:lineRule="auto"/>
        <w:rPr>
          <w:rFonts w:ascii="宋体" w:hAnsi="宋体" w:cs="宋体"/>
          <w:szCs w:val="21"/>
        </w:rPr>
      </w:pPr>
      <w:r>
        <w:rPr>
          <w:rFonts w:hint="eastAsia" w:ascii="宋体" w:hAnsi="宋体" w:cs="宋体"/>
          <w:szCs w:val="21"/>
        </w:rPr>
        <w:t>监理人审批工程质量保证措施文件的期限：</w:t>
      </w:r>
      <w:r>
        <w:rPr>
          <w:rFonts w:hint="eastAsia" w:ascii="宋体" w:hAnsi="宋体" w:cs="宋体"/>
          <w:szCs w:val="21"/>
          <w:u w:val="single"/>
        </w:rPr>
        <w:t>收到工程质量保证措施文件后7天内。</w:t>
      </w:r>
      <w:r>
        <w:rPr>
          <w:rFonts w:hint="eastAsia" w:ascii="宋体" w:hAnsi="宋体" w:cs="宋体"/>
          <w:szCs w:val="21"/>
        </w:rPr>
        <w:fldChar w:fldCharType="begin"/>
      </w:r>
      <w:r>
        <w:rPr>
          <w:rFonts w:hint="eastAsia" w:ascii="宋体" w:hAnsi="宋体" w:cs="宋体"/>
          <w:szCs w:val="21"/>
        </w:rPr>
        <w:instrText xml:space="preserve"> AUTOTEXT  input485 \* MERGEFORMAT </w:instrText>
      </w:r>
      <w:r>
        <w:rPr>
          <w:rFonts w:hint="eastAsia" w:ascii="宋体" w:hAnsi="宋体" w:cs="宋体"/>
          <w:szCs w:val="21"/>
        </w:rPr>
        <w:fldChar w:fldCharType="end"/>
      </w:r>
    </w:p>
    <w:p w14:paraId="31CFA280">
      <w:pPr>
        <w:tabs>
          <w:tab w:val="left" w:pos="3855"/>
        </w:tabs>
        <w:spacing w:line="360" w:lineRule="auto"/>
        <w:outlineLvl w:val="1"/>
        <w:rPr>
          <w:rFonts w:ascii="宋体" w:hAnsi="宋体" w:cs="宋体"/>
          <w:szCs w:val="21"/>
        </w:rPr>
      </w:pPr>
      <w:r>
        <w:rPr>
          <w:rFonts w:hint="eastAsia" w:ascii="宋体" w:hAnsi="宋体" w:cs="宋体"/>
          <w:szCs w:val="21"/>
        </w:rPr>
        <w:t>13.3承包人的质量检查</w:t>
      </w:r>
    </w:p>
    <w:p w14:paraId="0599D408">
      <w:pPr>
        <w:tabs>
          <w:tab w:val="left" w:pos="3855"/>
        </w:tabs>
        <w:spacing w:line="360" w:lineRule="auto"/>
        <w:rPr>
          <w:rFonts w:ascii="宋体" w:hAnsi="宋体" w:cs="宋体"/>
          <w:szCs w:val="21"/>
        </w:rPr>
      </w:pPr>
      <w:r>
        <w:rPr>
          <w:rFonts w:hint="eastAsia" w:ascii="宋体" w:hAnsi="宋体" w:cs="宋体"/>
          <w:szCs w:val="21"/>
        </w:rPr>
        <w:t>承包人向监理人报送工程质量报表的期限：</w:t>
      </w:r>
      <w:r>
        <w:rPr>
          <w:rFonts w:hint="eastAsia" w:ascii="宋体" w:hAnsi="宋体" w:cs="宋体"/>
          <w:szCs w:val="21"/>
          <w:u w:val="single"/>
        </w:rPr>
        <w:t>开工后每月的 28 日前。</w:t>
      </w:r>
      <w:r>
        <w:rPr>
          <w:rFonts w:hint="eastAsia" w:ascii="宋体" w:hAnsi="宋体" w:cs="宋体"/>
          <w:szCs w:val="21"/>
        </w:rPr>
        <w:fldChar w:fldCharType="begin"/>
      </w:r>
      <w:r>
        <w:rPr>
          <w:rFonts w:hint="eastAsia" w:ascii="宋体" w:hAnsi="宋体" w:cs="宋体"/>
          <w:szCs w:val="21"/>
        </w:rPr>
        <w:instrText xml:space="preserve"> AUTOTEXT  input486 \* MERGEFORMAT </w:instrText>
      </w:r>
      <w:r>
        <w:rPr>
          <w:rFonts w:hint="eastAsia" w:ascii="宋体" w:hAnsi="宋体" w:cs="宋体"/>
          <w:szCs w:val="21"/>
        </w:rPr>
        <w:fldChar w:fldCharType="end"/>
      </w:r>
    </w:p>
    <w:p w14:paraId="7967EDFA">
      <w:pPr>
        <w:tabs>
          <w:tab w:val="left" w:pos="3855"/>
        </w:tabs>
        <w:spacing w:line="360" w:lineRule="auto"/>
        <w:rPr>
          <w:rFonts w:ascii="宋体" w:hAnsi="宋体" w:cs="宋体"/>
          <w:szCs w:val="21"/>
        </w:rPr>
      </w:pPr>
      <w:r>
        <w:rPr>
          <w:rFonts w:hint="eastAsia" w:ascii="宋体" w:hAnsi="宋体" w:cs="宋体"/>
          <w:szCs w:val="21"/>
        </w:rPr>
        <w:t>承包人向监理人报送工程质量报表的要求：</w:t>
      </w:r>
      <w:r>
        <w:rPr>
          <w:rFonts w:hint="eastAsia" w:ascii="宋体" w:hAnsi="宋体" w:cs="宋体"/>
          <w:szCs w:val="21"/>
          <w:u w:val="single"/>
        </w:rPr>
        <w:t>按监理人要求格式报送。</w:t>
      </w:r>
      <w:r>
        <w:rPr>
          <w:rFonts w:hint="eastAsia" w:ascii="宋体" w:hAnsi="宋体" w:cs="宋体"/>
          <w:szCs w:val="21"/>
        </w:rPr>
        <w:fldChar w:fldCharType="begin"/>
      </w:r>
      <w:r>
        <w:rPr>
          <w:rFonts w:hint="eastAsia" w:ascii="宋体" w:hAnsi="宋体" w:cs="宋体"/>
          <w:szCs w:val="21"/>
        </w:rPr>
        <w:instrText xml:space="preserve"> AUTOTEXT  input487 \* MERGEFORMAT </w:instrText>
      </w:r>
      <w:r>
        <w:rPr>
          <w:rFonts w:hint="eastAsia" w:ascii="宋体" w:hAnsi="宋体" w:cs="宋体"/>
          <w:szCs w:val="21"/>
        </w:rPr>
        <w:fldChar w:fldCharType="end"/>
      </w:r>
    </w:p>
    <w:p w14:paraId="23217D11">
      <w:pPr>
        <w:tabs>
          <w:tab w:val="left" w:pos="3855"/>
        </w:tabs>
        <w:spacing w:line="360" w:lineRule="auto"/>
        <w:rPr>
          <w:rFonts w:ascii="宋体" w:hAnsi="宋体" w:cs="宋体"/>
          <w:szCs w:val="21"/>
        </w:rPr>
      </w:pPr>
      <w:r>
        <w:rPr>
          <w:rFonts w:hint="eastAsia" w:ascii="宋体" w:hAnsi="宋体" w:cs="宋体"/>
          <w:szCs w:val="21"/>
        </w:rPr>
        <w:t>监理人审查工程质量报表的期限：</w:t>
      </w:r>
      <w:r>
        <w:rPr>
          <w:rFonts w:hint="eastAsia" w:ascii="宋体" w:hAnsi="宋体" w:cs="宋体"/>
          <w:szCs w:val="21"/>
          <w:u w:val="single"/>
        </w:rPr>
        <w:t>收到质量报表后7天内。</w:t>
      </w:r>
      <w:r>
        <w:rPr>
          <w:rFonts w:hint="eastAsia" w:ascii="宋体" w:hAnsi="宋体" w:cs="宋体"/>
          <w:szCs w:val="21"/>
        </w:rPr>
        <w:fldChar w:fldCharType="begin"/>
      </w:r>
      <w:r>
        <w:rPr>
          <w:rFonts w:hint="eastAsia" w:ascii="宋体" w:hAnsi="宋体" w:cs="宋体"/>
          <w:szCs w:val="21"/>
        </w:rPr>
        <w:instrText xml:space="preserve"> AUTOTEXT  input488 \* MERGEFORMAT </w:instrText>
      </w:r>
      <w:r>
        <w:rPr>
          <w:rFonts w:hint="eastAsia" w:ascii="宋体" w:hAnsi="宋体" w:cs="宋体"/>
          <w:szCs w:val="21"/>
        </w:rPr>
        <w:fldChar w:fldCharType="end"/>
      </w:r>
    </w:p>
    <w:p w14:paraId="56C7C8B8">
      <w:pPr>
        <w:tabs>
          <w:tab w:val="left" w:pos="3855"/>
        </w:tabs>
        <w:spacing w:line="360" w:lineRule="auto"/>
        <w:outlineLvl w:val="1"/>
        <w:rPr>
          <w:rFonts w:ascii="宋体" w:hAnsi="宋体" w:cs="宋体"/>
          <w:szCs w:val="21"/>
        </w:rPr>
      </w:pPr>
      <w:r>
        <w:rPr>
          <w:rFonts w:hint="eastAsia" w:ascii="宋体" w:hAnsi="宋体" w:cs="宋体"/>
          <w:szCs w:val="21"/>
        </w:rPr>
        <w:t>13.4监理人的质量检查</w:t>
      </w:r>
    </w:p>
    <w:p w14:paraId="496C28FD">
      <w:pPr>
        <w:tabs>
          <w:tab w:val="left" w:pos="3855"/>
        </w:tabs>
        <w:spacing w:line="360" w:lineRule="auto"/>
        <w:rPr>
          <w:rFonts w:ascii="宋体" w:hAnsi="宋体" w:cs="宋体"/>
          <w:szCs w:val="21"/>
        </w:rPr>
      </w:pPr>
      <w:r>
        <w:rPr>
          <w:rFonts w:hint="eastAsia" w:ascii="宋体" w:hAnsi="宋体" w:cs="宋体"/>
          <w:szCs w:val="21"/>
        </w:rPr>
        <w:t>承包人应当为监理人的检查和检验提供方便，监理人可以进行察看和查阅施工原始记录的其他地方包括：</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input489 \* MERGEFORMAT </w:instrText>
      </w:r>
      <w:r>
        <w:rPr>
          <w:rFonts w:hint="eastAsia" w:ascii="宋体" w:hAnsi="宋体" w:cs="宋体"/>
          <w:szCs w:val="21"/>
        </w:rPr>
        <w:fldChar w:fldCharType="end"/>
      </w:r>
    </w:p>
    <w:p w14:paraId="556D4C33">
      <w:pPr>
        <w:tabs>
          <w:tab w:val="left" w:pos="3855"/>
        </w:tabs>
        <w:spacing w:line="360" w:lineRule="auto"/>
        <w:outlineLvl w:val="1"/>
        <w:rPr>
          <w:rFonts w:ascii="宋体" w:hAnsi="宋体" w:cs="宋体"/>
          <w:szCs w:val="21"/>
        </w:rPr>
      </w:pPr>
      <w:r>
        <w:rPr>
          <w:rFonts w:hint="eastAsia" w:ascii="宋体" w:hAnsi="宋体" w:cs="宋体"/>
          <w:szCs w:val="21"/>
        </w:rPr>
        <w:t>13.5工程隐蔽部位覆盖前的检查</w:t>
      </w:r>
    </w:p>
    <w:p w14:paraId="5D1115A5">
      <w:pPr>
        <w:tabs>
          <w:tab w:val="left" w:pos="3855"/>
        </w:tabs>
        <w:spacing w:line="360" w:lineRule="auto"/>
        <w:outlineLvl w:val="2"/>
        <w:rPr>
          <w:rFonts w:ascii="宋体" w:hAnsi="宋体" w:cs="宋体"/>
          <w:szCs w:val="21"/>
        </w:rPr>
      </w:pPr>
      <w:r>
        <w:rPr>
          <w:rFonts w:hint="eastAsia" w:ascii="宋体" w:hAnsi="宋体" w:cs="宋体"/>
          <w:szCs w:val="21"/>
        </w:rPr>
        <w:t>13.5.1监理人对工程隐蔽部位进行检查的期限：</w:t>
      </w:r>
      <w:r>
        <w:rPr>
          <w:rFonts w:hint="eastAsia" w:ascii="宋体" w:hAnsi="宋体" w:cs="宋体"/>
          <w:szCs w:val="21"/>
          <w:u w:val="single"/>
        </w:rPr>
        <w:t>收到承包人的检查通知后24小内。</w:t>
      </w:r>
      <w:r>
        <w:rPr>
          <w:rFonts w:hint="eastAsia" w:ascii="宋体" w:hAnsi="宋体" w:cs="宋体"/>
          <w:szCs w:val="21"/>
        </w:rPr>
        <w:fldChar w:fldCharType="begin"/>
      </w:r>
      <w:r>
        <w:rPr>
          <w:rFonts w:hint="eastAsia" w:ascii="宋体" w:hAnsi="宋体" w:cs="宋体"/>
          <w:szCs w:val="21"/>
        </w:rPr>
        <w:instrText xml:space="preserve"> AUTOTEXT  input490 \* MERGEFORMAT </w:instrText>
      </w:r>
      <w:r>
        <w:rPr>
          <w:rFonts w:hint="eastAsia" w:ascii="宋体" w:hAnsi="宋体" w:cs="宋体"/>
          <w:szCs w:val="21"/>
        </w:rPr>
        <w:fldChar w:fldCharType="end"/>
      </w:r>
    </w:p>
    <w:p w14:paraId="737841F7">
      <w:pPr>
        <w:tabs>
          <w:tab w:val="left" w:pos="3855"/>
        </w:tabs>
        <w:spacing w:line="360" w:lineRule="auto"/>
        <w:outlineLvl w:val="0"/>
        <w:rPr>
          <w:rFonts w:ascii="宋体" w:hAnsi="宋体" w:cs="宋体"/>
          <w:szCs w:val="21"/>
        </w:rPr>
      </w:pPr>
      <w:r>
        <w:rPr>
          <w:rFonts w:hint="eastAsia" w:ascii="宋体" w:hAnsi="宋体" w:cs="宋体"/>
          <w:szCs w:val="21"/>
        </w:rPr>
        <w:t>15.变更</w:t>
      </w:r>
    </w:p>
    <w:p w14:paraId="67879791">
      <w:pPr>
        <w:tabs>
          <w:tab w:val="left" w:pos="3855"/>
        </w:tabs>
        <w:spacing w:line="360" w:lineRule="auto"/>
        <w:outlineLvl w:val="1"/>
        <w:rPr>
          <w:rFonts w:ascii="宋体" w:hAnsi="宋体" w:cs="宋体"/>
          <w:szCs w:val="21"/>
        </w:rPr>
      </w:pPr>
      <w:r>
        <w:rPr>
          <w:rFonts w:hint="eastAsia" w:ascii="宋体" w:hAnsi="宋体" w:cs="宋体"/>
          <w:szCs w:val="21"/>
        </w:rPr>
        <w:t>15.1变更的范围和内容</w:t>
      </w:r>
    </w:p>
    <w:p w14:paraId="57CE72CF">
      <w:pPr>
        <w:tabs>
          <w:tab w:val="left" w:pos="3855"/>
        </w:tabs>
        <w:spacing w:line="360" w:lineRule="auto"/>
        <w:outlineLvl w:val="2"/>
        <w:rPr>
          <w:rFonts w:ascii="宋体" w:hAnsi="宋体" w:cs="宋体"/>
          <w:szCs w:val="21"/>
        </w:rPr>
      </w:pPr>
      <w:r>
        <w:rPr>
          <w:rFonts w:hint="eastAsia" w:ascii="宋体" w:hAnsi="宋体" w:cs="宋体"/>
          <w:szCs w:val="21"/>
        </w:rPr>
        <w:t>15.1.1在履行合同中发生以下情形之一，应按照本条规定进行变更。</w:t>
      </w:r>
    </w:p>
    <w:p w14:paraId="261766F0">
      <w:pPr>
        <w:tabs>
          <w:tab w:val="left" w:pos="3855"/>
        </w:tabs>
        <w:spacing w:line="360" w:lineRule="auto"/>
        <w:rPr>
          <w:rFonts w:ascii="宋体" w:hAnsi="宋体" w:cs="宋体"/>
          <w:szCs w:val="21"/>
        </w:rPr>
      </w:pPr>
      <w:r>
        <w:rPr>
          <w:rFonts w:hint="eastAsia" w:ascii="宋体" w:hAnsi="宋体" w:cs="宋体"/>
          <w:szCs w:val="21"/>
        </w:rPr>
        <w:t>(6)变更的其他情形：</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input491 \* MERGEFORMAT </w:instrText>
      </w:r>
      <w:r>
        <w:rPr>
          <w:rFonts w:hint="eastAsia" w:ascii="宋体" w:hAnsi="宋体" w:cs="宋体"/>
          <w:szCs w:val="21"/>
        </w:rPr>
        <w:fldChar w:fldCharType="end"/>
      </w:r>
    </w:p>
    <w:p w14:paraId="6AD4C2B4">
      <w:pPr>
        <w:tabs>
          <w:tab w:val="left" w:pos="3855"/>
        </w:tabs>
        <w:spacing w:line="360" w:lineRule="auto"/>
        <w:outlineLvl w:val="1"/>
        <w:rPr>
          <w:rFonts w:ascii="宋体" w:hAnsi="宋体" w:cs="宋体"/>
          <w:szCs w:val="21"/>
        </w:rPr>
      </w:pPr>
      <w:r>
        <w:rPr>
          <w:rFonts w:hint="eastAsia" w:ascii="宋体" w:hAnsi="宋体" w:cs="宋体"/>
          <w:szCs w:val="21"/>
        </w:rPr>
        <w:t>15.3变更程序</w:t>
      </w:r>
    </w:p>
    <w:p w14:paraId="7F3E5219">
      <w:pPr>
        <w:tabs>
          <w:tab w:val="left" w:pos="3855"/>
        </w:tabs>
        <w:spacing w:line="360" w:lineRule="auto"/>
        <w:outlineLvl w:val="2"/>
        <w:rPr>
          <w:rFonts w:ascii="宋体" w:hAnsi="宋体" w:cs="宋体"/>
          <w:szCs w:val="21"/>
        </w:rPr>
      </w:pPr>
      <w:r>
        <w:rPr>
          <w:rFonts w:hint="eastAsia" w:ascii="宋体" w:hAnsi="宋体" w:cs="宋体"/>
          <w:szCs w:val="21"/>
        </w:rPr>
        <w:t>15.3.2变更估价</w:t>
      </w:r>
    </w:p>
    <w:p w14:paraId="14E079B4">
      <w:pPr>
        <w:tabs>
          <w:tab w:val="left" w:pos="3855"/>
        </w:tabs>
        <w:spacing w:line="360" w:lineRule="auto"/>
        <w:rPr>
          <w:rFonts w:ascii="宋体" w:hAnsi="宋体" w:cs="宋体"/>
          <w:szCs w:val="21"/>
        </w:rPr>
      </w:pPr>
      <w:r>
        <w:rPr>
          <w:rFonts w:hint="eastAsia" w:ascii="宋体" w:hAnsi="宋体" w:cs="宋体"/>
          <w:szCs w:val="21"/>
        </w:rPr>
        <w:t>(1)承包人提交变更报价书的期限：</w:t>
      </w:r>
      <w:r>
        <w:rPr>
          <w:rFonts w:hint="eastAsia" w:ascii="宋体" w:hAnsi="宋体" w:cs="宋体"/>
          <w:szCs w:val="21"/>
          <w:u w:val="single"/>
        </w:rPr>
        <w:t>承包人收到变更指示或变更意向书后的14天内。</w:t>
      </w:r>
      <w:r>
        <w:rPr>
          <w:rFonts w:hint="eastAsia" w:ascii="宋体" w:hAnsi="宋体" w:cs="宋体"/>
          <w:szCs w:val="21"/>
        </w:rPr>
        <w:fldChar w:fldCharType="begin"/>
      </w:r>
      <w:r>
        <w:rPr>
          <w:rFonts w:hint="eastAsia" w:ascii="宋体" w:hAnsi="宋体" w:cs="宋体"/>
          <w:szCs w:val="21"/>
        </w:rPr>
        <w:instrText xml:space="preserve"> AUTOTEXT  input492 \* MERGEFORMAT </w:instrText>
      </w:r>
      <w:r>
        <w:rPr>
          <w:rFonts w:hint="eastAsia" w:ascii="宋体" w:hAnsi="宋体" w:cs="宋体"/>
          <w:szCs w:val="21"/>
        </w:rPr>
        <w:fldChar w:fldCharType="end"/>
      </w:r>
    </w:p>
    <w:p w14:paraId="02A9A22C">
      <w:pPr>
        <w:tabs>
          <w:tab w:val="left" w:pos="3855"/>
        </w:tabs>
        <w:spacing w:line="360" w:lineRule="auto"/>
        <w:rPr>
          <w:rFonts w:ascii="宋体" w:hAnsi="宋体" w:cs="宋体"/>
          <w:szCs w:val="21"/>
        </w:rPr>
      </w:pPr>
      <w:r>
        <w:rPr>
          <w:rFonts w:hint="eastAsia" w:ascii="宋体" w:hAnsi="宋体" w:cs="宋体"/>
          <w:szCs w:val="21"/>
        </w:rPr>
        <w:t>(3)监理人商定或确定变更价格的期限：</w:t>
      </w:r>
      <w:r>
        <w:rPr>
          <w:rFonts w:hint="eastAsia" w:ascii="宋体" w:hAnsi="宋体" w:cs="宋体"/>
          <w:szCs w:val="21"/>
          <w:u w:val="single"/>
        </w:rPr>
        <w:t>监理人收到承包人变更报价书后的14天内。</w:t>
      </w:r>
      <w:r>
        <w:rPr>
          <w:rFonts w:hint="eastAsia" w:ascii="宋体" w:hAnsi="宋体" w:cs="宋体"/>
          <w:szCs w:val="21"/>
        </w:rPr>
        <w:fldChar w:fldCharType="begin"/>
      </w:r>
      <w:r>
        <w:rPr>
          <w:rFonts w:hint="eastAsia" w:ascii="宋体" w:hAnsi="宋体" w:cs="宋体"/>
          <w:szCs w:val="21"/>
        </w:rPr>
        <w:instrText xml:space="preserve"> AUTOTEXT  input493 \* MERGEFORMAT </w:instrText>
      </w:r>
      <w:r>
        <w:rPr>
          <w:rFonts w:hint="eastAsia" w:ascii="宋体" w:hAnsi="宋体" w:cs="宋体"/>
          <w:szCs w:val="21"/>
        </w:rPr>
        <w:fldChar w:fldCharType="end"/>
      </w:r>
    </w:p>
    <w:p w14:paraId="40BF12CE">
      <w:pPr>
        <w:tabs>
          <w:tab w:val="left" w:pos="3855"/>
        </w:tabs>
        <w:spacing w:line="360" w:lineRule="auto"/>
        <w:outlineLvl w:val="1"/>
        <w:rPr>
          <w:rFonts w:ascii="宋体" w:hAnsi="宋体" w:cs="宋体"/>
          <w:szCs w:val="21"/>
        </w:rPr>
      </w:pPr>
      <w:r>
        <w:rPr>
          <w:rFonts w:hint="eastAsia" w:ascii="宋体" w:hAnsi="宋体" w:cs="宋体"/>
          <w:szCs w:val="21"/>
        </w:rPr>
        <w:t>15.4变更的估价原则</w:t>
      </w:r>
    </w:p>
    <w:p w14:paraId="7D4131BD">
      <w:pPr>
        <w:tabs>
          <w:tab w:val="left" w:pos="3855"/>
        </w:tabs>
        <w:spacing w:line="360" w:lineRule="auto"/>
        <w:outlineLvl w:val="2"/>
        <w:rPr>
          <w:rFonts w:ascii="宋体" w:hAnsi="宋体" w:cs="宋体"/>
          <w:szCs w:val="21"/>
        </w:rPr>
      </w:pPr>
      <w:r>
        <w:rPr>
          <w:rFonts w:hint="eastAsia" w:ascii="宋体" w:hAnsi="宋体" w:cs="宋体"/>
          <w:szCs w:val="21"/>
        </w:rPr>
        <w:t>15.4.5合同协议书约定采用单价合同形式时，因非承包人原因引起已标价工程量清单中列明的工程量发生增减，且单个子目工程量变化幅度在</w:t>
      </w:r>
      <w:r>
        <w:rPr>
          <w:rFonts w:hint="eastAsia" w:ascii="宋体" w:hAnsi="宋体" w:cs="宋体"/>
          <w:szCs w:val="21"/>
          <w:u w:val="single"/>
        </w:rPr>
        <w:t>15</w:t>
      </w:r>
      <w:r>
        <w:rPr>
          <w:rFonts w:hint="eastAsia" w:ascii="宋体" w:hAnsi="宋体" w:cs="宋体"/>
          <w:szCs w:val="21"/>
        </w:rPr>
        <w:fldChar w:fldCharType="begin"/>
      </w:r>
      <w:r>
        <w:rPr>
          <w:rFonts w:hint="eastAsia" w:ascii="宋体" w:hAnsi="宋体" w:cs="宋体"/>
          <w:szCs w:val="21"/>
        </w:rPr>
        <w:instrText xml:space="preserve"> AUTOTEXT  input494 \* MERGEFORMAT </w:instrText>
      </w:r>
      <w:r>
        <w:rPr>
          <w:rFonts w:hint="eastAsia" w:ascii="宋体" w:hAnsi="宋体" w:cs="宋体"/>
          <w:szCs w:val="21"/>
        </w:rPr>
        <w:fldChar w:fldCharType="end"/>
      </w:r>
      <w:r>
        <w:rPr>
          <w:rFonts w:hint="eastAsia" w:ascii="宋体" w:hAnsi="宋体" w:cs="宋体"/>
          <w:szCs w:val="21"/>
        </w:rPr>
        <w:t>%以内（含）时，应执行已标价工程量清单中列明的该子目的单价；单个子目工程量变化幅度在</w:t>
      </w:r>
      <w:r>
        <w:rPr>
          <w:rFonts w:hint="eastAsia" w:ascii="宋体" w:hAnsi="宋体" w:cs="宋体"/>
          <w:szCs w:val="21"/>
          <w:u w:val="single"/>
        </w:rPr>
        <w:t>15</w:t>
      </w:r>
      <w:r>
        <w:rPr>
          <w:rFonts w:hint="eastAsia" w:ascii="宋体" w:hAnsi="宋体" w:cs="宋体"/>
          <w:szCs w:val="21"/>
        </w:rPr>
        <w:fldChar w:fldCharType="begin"/>
      </w:r>
      <w:r>
        <w:rPr>
          <w:rFonts w:hint="eastAsia" w:ascii="宋体" w:hAnsi="宋体" w:cs="宋体"/>
          <w:szCs w:val="21"/>
        </w:rPr>
        <w:instrText xml:space="preserve"> AUTOTEXT  input495 \* MERGEFORMAT </w:instrText>
      </w:r>
      <w:r>
        <w:rPr>
          <w:rFonts w:hint="eastAsia" w:ascii="宋体" w:hAnsi="宋体" w:cs="宋体"/>
          <w:szCs w:val="21"/>
        </w:rPr>
        <w:fldChar w:fldCharType="end"/>
      </w:r>
      <w:r>
        <w:rPr>
          <w:rFonts w:hint="eastAsia" w:ascii="宋体" w:hAnsi="宋体" w:cs="宋体"/>
          <w:szCs w:val="21"/>
        </w:rPr>
        <w:t>%以外（不含），且导致分部分项工程费总额变化幅度超过</w:t>
      </w:r>
      <w:r>
        <w:rPr>
          <w:rFonts w:hint="eastAsia" w:ascii="宋体" w:hAnsi="宋体" w:cs="宋体"/>
          <w:szCs w:val="21"/>
          <w:u w:val="single"/>
        </w:rPr>
        <w:t>1</w:t>
      </w:r>
      <w:r>
        <w:rPr>
          <w:rFonts w:hint="eastAsia" w:ascii="宋体" w:hAnsi="宋体" w:cs="宋体"/>
          <w:szCs w:val="21"/>
        </w:rPr>
        <w:fldChar w:fldCharType="begin"/>
      </w:r>
      <w:r>
        <w:rPr>
          <w:rFonts w:hint="eastAsia" w:ascii="宋体" w:hAnsi="宋体" w:cs="宋体"/>
          <w:szCs w:val="21"/>
        </w:rPr>
        <w:instrText xml:space="preserve"> AUTOTEXT  input496 \* MERGEFORMAT </w:instrText>
      </w:r>
      <w:r>
        <w:rPr>
          <w:rFonts w:hint="eastAsia" w:ascii="宋体" w:hAnsi="宋体" w:cs="宋体"/>
          <w:szCs w:val="21"/>
        </w:rPr>
        <w:fldChar w:fldCharType="end"/>
      </w:r>
      <w:r>
        <w:rPr>
          <w:rFonts w:hint="eastAsia" w:ascii="宋体" w:hAnsi="宋体" w:cs="宋体"/>
          <w:szCs w:val="21"/>
        </w:rPr>
        <w:t>%时，由承包人提出并由监理人按第3.5款商定或确定新的单价，该子目按修正后的新的单价计价。</w:t>
      </w:r>
    </w:p>
    <w:p w14:paraId="491E2CC0">
      <w:pPr>
        <w:tabs>
          <w:tab w:val="left" w:pos="3855"/>
        </w:tabs>
        <w:spacing w:line="360" w:lineRule="auto"/>
        <w:outlineLvl w:val="2"/>
        <w:rPr>
          <w:rFonts w:ascii="宋体" w:hAnsi="宋体" w:cs="宋体"/>
          <w:szCs w:val="21"/>
        </w:rPr>
      </w:pPr>
      <w:r>
        <w:rPr>
          <w:rFonts w:hint="eastAsia" w:ascii="宋体" w:hAnsi="宋体" w:cs="宋体"/>
          <w:szCs w:val="21"/>
        </w:rPr>
        <w:t>15.4.6因变更引起价格调整的其他处理方式：</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input497 \* MERGEFORMAT </w:instrText>
      </w:r>
      <w:r>
        <w:rPr>
          <w:rFonts w:hint="eastAsia" w:ascii="宋体" w:hAnsi="宋体" w:cs="宋体"/>
          <w:szCs w:val="21"/>
        </w:rPr>
        <w:fldChar w:fldCharType="end"/>
      </w:r>
    </w:p>
    <w:p w14:paraId="25A79CCA">
      <w:pPr>
        <w:tabs>
          <w:tab w:val="left" w:pos="3855"/>
        </w:tabs>
        <w:spacing w:line="360" w:lineRule="auto"/>
        <w:outlineLvl w:val="1"/>
        <w:rPr>
          <w:rFonts w:ascii="宋体" w:hAnsi="宋体" w:cs="宋体"/>
          <w:szCs w:val="21"/>
        </w:rPr>
      </w:pPr>
      <w:r>
        <w:rPr>
          <w:rFonts w:hint="eastAsia" w:ascii="宋体" w:hAnsi="宋体" w:cs="宋体"/>
          <w:szCs w:val="21"/>
        </w:rPr>
        <w:t>15.5承包人的合理化建议</w:t>
      </w:r>
    </w:p>
    <w:p w14:paraId="2A36BF76">
      <w:pPr>
        <w:tabs>
          <w:tab w:val="left" w:pos="3855"/>
        </w:tabs>
        <w:spacing w:line="360" w:lineRule="auto"/>
        <w:outlineLvl w:val="2"/>
        <w:rPr>
          <w:rFonts w:ascii="宋体" w:hAnsi="宋体" w:cs="宋体"/>
          <w:szCs w:val="21"/>
        </w:rPr>
      </w:pPr>
      <w:r>
        <w:rPr>
          <w:rFonts w:hint="eastAsia" w:ascii="宋体" w:hAnsi="宋体" w:cs="宋体"/>
          <w:szCs w:val="21"/>
        </w:rPr>
        <w:t>15.5.2对承包人提出合理化建议的奖励方法：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input498 \* MERGEFORMAT </w:instrText>
      </w:r>
      <w:r>
        <w:rPr>
          <w:rFonts w:hint="eastAsia" w:ascii="宋体" w:hAnsi="宋体" w:cs="宋体"/>
          <w:szCs w:val="21"/>
        </w:rPr>
        <w:fldChar w:fldCharType="end"/>
      </w:r>
    </w:p>
    <w:p w14:paraId="115BCFB0">
      <w:pPr>
        <w:tabs>
          <w:tab w:val="left" w:pos="3855"/>
        </w:tabs>
        <w:spacing w:line="360" w:lineRule="auto"/>
        <w:outlineLvl w:val="1"/>
        <w:rPr>
          <w:rFonts w:ascii="宋体" w:hAnsi="宋体" w:cs="宋体"/>
          <w:szCs w:val="21"/>
        </w:rPr>
      </w:pPr>
      <w:r>
        <w:rPr>
          <w:rFonts w:hint="eastAsia" w:ascii="宋体" w:hAnsi="宋体" w:cs="宋体"/>
          <w:szCs w:val="21"/>
        </w:rPr>
        <w:t>15.8暂估价</w:t>
      </w:r>
    </w:p>
    <w:p w14:paraId="0A3B40CC">
      <w:pPr>
        <w:tabs>
          <w:tab w:val="left" w:pos="3855"/>
        </w:tabs>
        <w:spacing w:line="360" w:lineRule="auto"/>
        <w:outlineLvl w:val="2"/>
        <w:rPr>
          <w:rFonts w:ascii="宋体" w:hAnsi="宋体" w:cs="宋体"/>
          <w:szCs w:val="21"/>
        </w:rPr>
      </w:pPr>
      <w:r>
        <w:rPr>
          <w:rFonts w:hint="eastAsia" w:ascii="宋体" w:hAnsi="宋体" w:cs="宋体"/>
          <w:szCs w:val="21"/>
        </w:rPr>
        <w:t>15.8.1按合同约定应当由发包人和承包人采用招标方式选择专项供应商或专业分包人的：</w:t>
      </w:r>
    </w:p>
    <w:p w14:paraId="1E318BE2">
      <w:pPr>
        <w:tabs>
          <w:tab w:val="left" w:pos="3855"/>
        </w:tabs>
        <w:spacing w:line="360" w:lineRule="auto"/>
        <w:rPr>
          <w:rFonts w:ascii="宋体" w:hAnsi="宋体" w:cs="宋体"/>
          <w:szCs w:val="21"/>
        </w:rPr>
      </w:pPr>
      <w:r>
        <w:rPr>
          <w:rFonts w:hint="eastAsia" w:ascii="宋体" w:hAnsi="宋体" w:cs="宋体"/>
          <w:szCs w:val="21"/>
        </w:rPr>
        <w:t>(4)承包人报送招标计划期限：</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input839 \* MERGEFORMAT </w:instrText>
      </w:r>
      <w:r>
        <w:rPr>
          <w:rFonts w:hint="eastAsia" w:ascii="宋体" w:hAnsi="宋体" w:cs="宋体"/>
          <w:szCs w:val="21"/>
        </w:rPr>
        <w:fldChar w:fldCharType="end"/>
      </w:r>
    </w:p>
    <w:p w14:paraId="6DD0124C">
      <w:pPr>
        <w:tabs>
          <w:tab w:val="left" w:pos="3855"/>
        </w:tabs>
        <w:spacing w:line="360" w:lineRule="auto"/>
        <w:rPr>
          <w:rFonts w:ascii="宋体" w:hAnsi="宋体" w:cs="宋体"/>
          <w:szCs w:val="21"/>
        </w:rPr>
      </w:pPr>
      <w:r>
        <w:rPr>
          <w:rFonts w:hint="eastAsia" w:ascii="宋体" w:hAnsi="宋体" w:cs="宋体"/>
          <w:szCs w:val="21"/>
        </w:rPr>
        <w:t>发包人审批招标工作计划时限：</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input840 \* MERGEFORMAT </w:instrText>
      </w:r>
      <w:r>
        <w:rPr>
          <w:rFonts w:hint="eastAsia" w:ascii="宋体" w:hAnsi="宋体" w:cs="宋体"/>
          <w:szCs w:val="21"/>
        </w:rPr>
        <w:fldChar w:fldCharType="end"/>
      </w:r>
    </w:p>
    <w:p w14:paraId="625AEC76">
      <w:pPr>
        <w:tabs>
          <w:tab w:val="left" w:pos="3855"/>
        </w:tabs>
        <w:spacing w:line="360" w:lineRule="auto"/>
        <w:rPr>
          <w:rFonts w:ascii="宋体" w:hAnsi="宋体" w:cs="宋体"/>
          <w:szCs w:val="21"/>
        </w:rPr>
      </w:pPr>
      <w:r>
        <w:rPr>
          <w:rFonts w:hint="eastAsia" w:ascii="宋体" w:hAnsi="宋体" w:cs="宋体"/>
          <w:szCs w:val="21"/>
        </w:rPr>
        <w:t>(5)承包人报送相关文件时限：</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input841 \* MERGEFORMAT </w:instrText>
      </w:r>
      <w:r>
        <w:rPr>
          <w:rFonts w:hint="eastAsia" w:ascii="宋体" w:hAnsi="宋体" w:cs="宋体"/>
          <w:szCs w:val="21"/>
        </w:rPr>
        <w:fldChar w:fldCharType="end"/>
      </w:r>
    </w:p>
    <w:p w14:paraId="552E58A3">
      <w:pPr>
        <w:tabs>
          <w:tab w:val="left" w:pos="3855"/>
        </w:tabs>
        <w:spacing w:line="360" w:lineRule="auto"/>
        <w:rPr>
          <w:rFonts w:ascii="宋体" w:hAnsi="宋体" w:cs="宋体"/>
          <w:szCs w:val="21"/>
        </w:rPr>
      </w:pPr>
      <w:r>
        <w:rPr>
          <w:rFonts w:hint="eastAsia" w:ascii="宋体" w:hAnsi="宋体" w:cs="宋体"/>
          <w:szCs w:val="21"/>
        </w:rPr>
        <w:t>发包人审批相关文件时限：</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input842 \* MERGEFORMAT </w:instrText>
      </w:r>
      <w:r>
        <w:rPr>
          <w:rFonts w:hint="eastAsia" w:ascii="宋体" w:hAnsi="宋体" w:cs="宋体"/>
          <w:szCs w:val="21"/>
        </w:rPr>
        <w:fldChar w:fldCharType="end"/>
      </w:r>
    </w:p>
    <w:p w14:paraId="6E0B4306">
      <w:pPr>
        <w:tabs>
          <w:tab w:val="left" w:pos="3855"/>
        </w:tabs>
        <w:spacing w:line="360" w:lineRule="auto"/>
        <w:rPr>
          <w:rFonts w:ascii="宋体" w:hAnsi="宋体" w:cs="宋体"/>
          <w:szCs w:val="21"/>
        </w:rPr>
      </w:pPr>
      <w:r>
        <w:rPr>
          <w:rFonts w:hint="eastAsia" w:ascii="宋体" w:hAnsi="宋体" w:cs="宋体"/>
          <w:szCs w:val="21"/>
        </w:rPr>
        <w:t>(10)承包人申报合同文件时限：</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input843 \* MERGEFORMAT </w:instrText>
      </w:r>
      <w:r>
        <w:rPr>
          <w:rFonts w:hint="eastAsia" w:ascii="宋体" w:hAnsi="宋体" w:cs="宋体"/>
          <w:szCs w:val="21"/>
        </w:rPr>
        <w:fldChar w:fldCharType="end"/>
      </w:r>
    </w:p>
    <w:p w14:paraId="411726E7">
      <w:pPr>
        <w:tabs>
          <w:tab w:val="left" w:pos="3855"/>
        </w:tabs>
        <w:spacing w:line="360" w:lineRule="auto"/>
        <w:rPr>
          <w:rFonts w:ascii="宋体" w:hAnsi="宋体" w:cs="宋体"/>
          <w:szCs w:val="21"/>
        </w:rPr>
      </w:pPr>
      <w:r>
        <w:rPr>
          <w:rFonts w:hint="eastAsia" w:ascii="宋体" w:hAnsi="宋体" w:cs="宋体"/>
          <w:szCs w:val="21"/>
        </w:rPr>
        <w:t>发包人审批合同文件时限：</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input844 \* MERGEFORMAT </w:instrText>
      </w:r>
      <w:r>
        <w:rPr>
          <w:rFonts w:hint="eastAsia" w:ascii="宋体" w:hAnsi="宋体" w:cs="宋体"/>
          <w:szCs w:val="21"/>
        </w:rPr>
        <w:fldChar w:fldCharType="end"/>
      </w:r>
    </w:p>
    <w:p w14:paraId="303C5126">
      <w:pPr>
        <w:tabs>
          <w:tab w:val="left" w:pos="3855"/>
        </w:tabs>
        <w:spacing w:line="360" w:lineRule="auto"/>
        <w:rPr>
          <w:rFonts w:ascii="宋体" w:hAnsi="宋体" w:cs="宋体"/>
          <w:szCs w:val="21"/>
        </w:rPr>
      </w:pPr>
      <w:r>
        <w:rPr>
          <w:rFonts w:hint="eastAsia" w:ascii="宋体" w:hAnsi="宋体" w:cs="宋体"/>
          <w:szCs w:val="21"/>
        </w:rPr>
        <w:t>承包人报送正式签订合同副本时限：</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input845 \* MERGEFORMAT </w:instrText>
      </w:r>
      <w:r>
        <w:rPr>
          <w:rFonts w:hint="eastAsia" w:ascii="宋体" w:hAnsi="宋体" w:cs="宋体"/>
          <w:szCs w:val="21"/>
        </w:rPr>
        <w:fldChar w:fldCharType="end"/>
      </w:r>
    </w:p>
    <w:p w14:paraId="1501E17E">
      <w:pPr>
        <w:tabs>
          <w:tab w:val="left" w:pos="3855"/>
        </w:tabs>
        <w:spacing w:line="360" w:lineRule="auto"/>
        <w:outlineLvl w:val="2"/>
        <w:rPr>
          <w:rFonts w:ascii="宋体" w:hAnsi="宋体" w:cs="宋体"/>
          <w:szCs w:val="21"/>
        </w:rPr>
      </w:pPr>
      <w:r>
        <w:rPr>
          <w:rFonts w:hint="eastAsia" w:ascii="宋体" w:hAnsi="宋体" w:cs="宋体"/>
          <w:szCs w:val="21"/>
        </w:rPr>
        <w:t>15.8.3发包人在工程量清单中给定暂估价的专业工程不属于依法必须招标的范围或者未达到依法必须招标的规模标准的，其最终价格的估价人为：</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input506 \* MERGEFORMAT </w:instrText>
      </w:r>
      <w:r>
        <w:rPr>
          <w:rFonts w:hint="eastAsia" w:ascii="宋体" w:hAnsi="宋体" w:cs="宋体"/>
          <w:szCs w:val="21"/>
        </w:rPr>
        <w:fldChar w:fldCharType="end"/>
      </w:r>
      <w:r>
        <w:rPr>
          <w:rFonts w:hint="eastAsia" w:ascii="宋体" w:hAnsi="宋体" w:cs="宋体"/>
          <w:szCs w:val="21"/>
        </w:rPr>
        <w:t>或者按照下列约定：</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input507 \* MERGEFORMAT </w:instrText>
      </w:r>
      <w:r>
        <w:rPr>
          <w:rFonts w:hint="eastAsia" w:ascii="宋体" w:hAnsi="宋体" w:cs="宋体"/>
          <w:szCs w:val="21"/>
        </w:rPr>
        <w:fldChar w:fldCharType="end"/>
      </w:r>
    </w:p>
    <w:p w14:paraId="04346B94">
      <w:pPr>
        <w:tabs>
          <w:tab w:val="left" w:pos="3855"/>
        </w:tabs>
        <w:spacing w:line="360" w:lineRule="auto"/>
        <w:outlineLvl w:val="0"/>
        <w:rPr>
          <w:rFonts w:ascii="宋体" w:hAnsi="宋体" w:cs="宋体"/>
          <w:szCs w:val="21"/>
        </w:rPr>
      </w:pPr>
      <w:r>
        <w:rPr>
          <w:rFonts w:hint="eastAsia" w:ascii="宋体" w:hAnsi="宋体" w:cs="宋体"/>
          <w:szCs w:val="21"/>
        </w:rPr>
        <w:t>16.价格调整</w:t>
      </w:r>
    </w:p>
    <w:p w14:paraId="6A0FC735">
      <w:pPr>
        <w:tabs>
          <w:tab w:val="left" w:pos="3855"/>
        </w:tabs>
        <w:spacing w:line="360" w:lineRule="auto"/>
        <w:outlineLvl w:val="1"/>
        <w:rPr>
          <w:rFonts w:ascii="宋体" w:hAnsi="宋体" w:cs="宋体"/>
          <w:szCs w:val="21"/>
        </w:rPr>
      </w:pPr>
      <w:r>
        <w:rPr>
          <w:rFonts w:hint="eastAsia" w:ascii="宋体" w:hAnsi="宋体" w:cs="宋体"/>
          <w:szCs w:val="21"/>
        </w:rPr>
        <w:t>16.1物价波动引起的价格调整</w:t>
      </w:r>
    </w:p>
    <w:p w14:paraId="7A5A302A">
      <w:pPr>
        <w:tabs>
          <w:tab w:val="left" w:pos="3855"/>
        </w:tabs>
        <w:spacing w:line="360" w:lineRule="auto"/>
        <w:rPr>
          <w:rFonts w:ascii="宋体" w:hAnsi="宋体" w:cs="宋体"/>
          <w:szCs w:val="21"/>
        </w:rPr>
      </w:pPr>
      <w:r>
        <w:rPr>
          <w:rFonts w:hint="eastAsia" w:ascii="宋体" w:hAnsi="宋体" w:cs="宋体"/>
          <w:szCs w:val="21"/>
        </w:rPr>
        <w:t>物价波动引起价格调整方法：</w:t>
      </w:r>
      <w:r>
        <w:rPr>
          <w:rFonts w:hint="eastAsia" w:ascii="宋体" w:hAnsi="宋体" w:cs="宋体"/>
          <w:szCs w:val="21"/>
          <w:u w:val="single"/>
        </w:rPr>
        <w:t>不调整</w:t>
      </w:r>
      <w:r>
        <w:rPr>
          <w:rFonts w:hint="eastAsia" w:ascii="宋体" w:hAnsi="宋体" w:cs="宋体"/>
          <w:szCs w:val="21"/>
        </w:rPr>
        <w:fldChar w:fldCharType="begin"/>
      </w:r>
      <w:r>
        <w:rPr>
          <w:rFonts w:hint="eastAsia" w:ascii="宋体" w:hAnsi="宋体" w:cs="宋体"/>
          <w:szCs w:val="21"/>
        </w:rPr>
        <w:instrText xml:space="preserve"> AUTOTEXT  input508 \* MERGEFORMAT </w:instrText>
      </w:r>
      <w:r>
        <w:rPr>
          <w:rFonts w:hint="eastAsia" w:ascii="宋体" w:hAnsi="宋体" w:cs="宋体"/>
          <w:szCs w:val="21"/>
        </w:rPr>
        <w:fldChar w:fldCharType="end"/>
      </w:r>
    </w:p>
    <w:p w14:paraId="70F6BB62">
      <w:pPr>
        <w:tabs>
          <w:tab w:val="left" w:pos="3855"/>
        </w:tabs>
        <w:spacing w:line="360" w:lineRule="auto"/>
        <w:outlineLvl w:val="2"/>
        <w:rPr>
          <w:rFonts w:ascii="宋体" w:hAnsi="宋体" w:cs="宋体"/>
          <w:szCs w:val="21"/>
        </w:rPr>
      </w:pPr>
      <w:r>
        <w:rPr>
          <w:rFonts w:hint="eastAsia" w:ascii="宋体" w:hAnsi="宋体" w:cs="宋体"/>
          <w:szCs w:val="21"/>
        </w:rPr>
        <w:t>16.1.2采用造价信息调整价格差额</w:t>
      </w:r>
    </w:p>
    <w:p w14:paraId="447F8FD1">
      <w:pPr>
        <w:tabs>
          <w:tab w:val="left" w:pos="3855"/>
        </w:tabs>
        <w:spacing w:line="360" w:lineRule="auto"/>
        <w:outlineLvl w:val="3"/>
        <w:rPr>
          <w:rFonts w:ascii="宋体" w:hAnsi="宋体" w:cs="宋体"/>
          <w:szCs w:val="21"/>
        </w:rPr>
      </w:pPr>
      <w:r>
        <w:rPr>
          <w:rFonts w:hint="eastAsia" w:ascii="宋体" w:hAnsi="宋体" w:cs="宋体"/>
          <w:szCs w:val="21"/>
        </w:rPr>
        <w:t>16.1.2.1引起价格调整的物价波动风险范围及幅度</w:t>
      </w:r>
    </w:p>
    <w:p w14:paraId="6CBD3072">
      <w:pPr>
        <w:tabs>
          <w:tab w:val="left" w:pos="3855"/>
        </w:tabs>
        <w:spacing w:line="360" w:lineRule="auto"/>
        <w:rPr>
          <w:rFonts w:ascii="宋体" w:hAnsi="宋体" w:cs="宋体"/>
          <w:szCs w:val="21"/>
        </w:rPr>
      </w:pPr>
      <w:r>
        <w:rPr>
          <w:rFonts w:hint="eastAsia" w:ascii="宋体" w:hAnsi="宋体" w:cs="宋体"/>
          <w:szCs w:val="21"/>
        </w:rPr>
        <w:t>引起价格调整的物价波动风险范围：</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input846 \* MERGEFORMAT </w:instrText>
      </w:r>
      <w:r>
        <w:rPr>
          <w:rFonts w:hint="eastAsia" w:ascii="宋体" w:hAnsi="宋体" w:cs="宋体"/>
          <w:szCs w:val="21"/>
        </w:rPr>
        <w:fldChar w:fldCharType="end"/>
      </w:r>
    </w:p>
    <w:p w14:paraId="30F8785B">
      <w:pPr>
        <w:tabs>
          <w:tab w:val="left" w:pos="3855"/>
        </w:tabs>
        <w:spacing w:line="360" w:lineRule="auto"/>
        <w:rPr>
          <w:rFonts w:ascii="宋体" w:hAnsi="宋体" w:cs="宋体"/>
          <w:szCs w:val="21"/>
        </w:rPr>
      </w:pPr>
      <w:r>
        <w:rPr>
          <w:rFonts w:hint="eastAsia" w:ascii="宋体" w:hAnsi="宋体" w:cs="宋体"/>
          <w:szCs w:val="21"/>
        </w:rPr>
        <w:t>引起价格调整的物价波动风险幅度：</w:t>
      </w:r>
      <w:r>
        <w:rPr>
          <w:rFonts w:ascii="宋体" w:hAnsi="宋体" w:cs="宋体"/>
          <w:szCs w:val="21"/>
          <w:u w:val="single"/>
        </w:rPr>
        <w:t>/</w:t>
      </w:r>
    </w:p>
    <w:p w14:paraId="472E071C">
      <w:pPr>
        <w:tabs>
          <w:tab w:val="left" w:pos="3855"/>
        </w:tabs>
        <w:spacing w:line="360" w:lineRule="auto"/>
        <w:outlineLvl w:val="3"/>
        <w:rPr>
          <w:rFonts w:ascii="宋体" w:hAnsi="宋体" w:cs="宋体"/>
          <w:szCs w:val="21"/>
        </w:rPr>
      </w:pPr>
      <w:r>
        <w:rPr>
          <w:rFonts w:hint="eastAsia" w:ascii="宋体" w:hAnsi="宋体" w:cs="宋体"/>
          <w:szCs w:val="21"/>
        </w:rPr>
        <w:t>16.1.2.2物价波动引起价格调整的风险幅度的计算方法</w:t>
      </w:r>
    </w:p>
    <w:p w14:paraId="4BD3A506">
      <w:pPr>
        <w:tabs>
          <w:tab w:val="left" w:pos="3855"/>
        </w:tabs>
        <w:spacing w:line="360" w:lineRule="auto"/>
        <w:rPr>
          <w:rFonts w:ascii="宋体" w:hAnsi="宋体" w:cs="宋体"/>
          <w:szCs w:val="21"/>
        </w:rPr>
      </w:pPr>
      <w:r>
        <w:rPr>
          <w:rFonts w:hint="eastAsia" w:ascii="宋体" w:hAnsi="宋体" w:cs="宋体"/>
          <w:szCs w:val="21"/>
        </w:rPr>
        <w:t>(1)投标报价基准期：</w:t>
      </w:r>
      <w:r>
        <w:rPr>
          <w:rFonts w:hint="eastAsia" w:ascii="宋体" w:hAnsi="宋体" w:cs="宋体"/>
          <w:szCs w:val="21"/>
          <w:u w:val="single"/>
        </w:rPr>
        <w:t>202</w:t>
      </w:r>
      <w:r>
        <w:rPr>
          <w:rFonts w:ascii="宋体" w:hAnsi="宋体" w:cs="宋体"/>
          <w:szCs w:val="21"/>
          <w:u w:val="single"/>
        </w:rPr>
        <w:t>5</w:t>
      </w:r>
      <w:r>
        <w:rPr>
          <w:rFonts w:hint="eastAsia" w:ascii="宋体" w:hAnsi="宋体" w:cs="宋体"/>
          <w:szCs w:val="21"/>
        </w:rPr>
        <w:fldChar w:fldCharType="begin"/>
      </w:r>
      <w:r>
        <w:rPr>
          <w:rFonts w:hint="eastAsia" w:ascii="宋体" w:hAnsi="宋体" w:cs="宋体"/>
          <w:szCs w:val="21"/>
        </w:rPr>
        <w:instrText xml:space="preserve"> AUTOTEXT  input848 \* MERGEFORMAT </w:instrText>
      </w:r>
      <w:r>
        <w:rPr>
          <w:rFonts w:hint="eastAsia" w:ascii="宋体" w:hAnsi="宋体" w:cs="宋体"/>
          <w:szCs w:val="21"/>
        </w:rPr>
        <w:fldChar w:fldCharType="end"/>
      </w:r>
      <w:r>
        <w:rPr>
          <w:rFonts w:hint="eastAsia" w:ascii="宋体" w:hAnsi="宋体" w:cs="宋体"/>
          <w:szCs w:val="21"/>
        </w:rPr>
        <w:t>年</w:t>
      </w:r>
      <w:r>
        <w:rPr>
          <w:rFonts w:ascii="宋体" w:hAnsi="宋体" w:cs="宋体"/>
          <w:szCs w:val="21"/>
          <w:u w:val="single"/>
        </w:rPr>
        <w:t xml:space="preserve"> 5 </w:t>
      </w:r>
      <w:r>
        <w:rPr>
          <w:rFonts w:hint="eastAsia" w:ascii="宋体" w:hAnsi="宋体" w:cs="宋体"/>
          <w:szCs w:val="21"/>
        </w:rPr>
        <w:fldChar w:fldCharType="begin"/>
      </w:r>
      <w:r>
        <w:rPr>
          <w:rFonts w:hint="eastAsia" w:ascii="宋体" w:hAnsi="宋体" w:cs="宋体"/>
          <w:szCs w:val="21"/>
        </w:rPr>
        <w:instrText xml:space="preserve"> AUTOTEXT  input849 \* MERGEFORMAT </w:instrText>
      </w:r>
      <w:r>
        <w:rPr>
          <w:rFonts w:hint="eastAsia" w:ascii="宋体" w:hAnsi="宋体" w:cs="宋体"/>
          <w:szCs w:val="21"/>
        </w:rPr>
        <w:fldChar w:fldCharType="end"/>
      </w:r>
      <w:r>
        <w:rPr>
          <w:rFonts w:hint="eastAsia" w:ascii="宋体" w:hAnsi="宋体" w:cs="宋体"/>
          <w:szCs w:val="21"/>
        </w:rPr>
        <w:t>月。</w:t>
      </w:r>
    </w:p>
    <w:p w14:paraId="116EA795">
      <w:pPr>
        <w:tabs>
          <w:tab w:val="left" w:pos="3855"/>
        </w:tabs>
        <w:spacing w:line="360" w:lineRule="auto"/>
        <w:rPr>
          <w:rFonts w:ascii="宋体" w:hAnsi="宋体" w:cs="宋体"/>
          <w:szCs w:val="21"/>
        </w:rPr>
      </w:pPr>
      <w:r>
        <w:rPr>
          <w:rFonts w:hint="eastAsia" w:ascii="宋体" w:hAnsi="宋体" w:cs="宋体"/>
          <w:szCs w:val="21"/>
        </w:rPr>
        <w:t>(2)《北京工程造价信息》市场价格信息中没有的，基准价的确定方法：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input850 \* MERGEFORMAT </w:instrText>
      </w:r>
      <w:r>
        <w:rPr>
          <w:rFonts w:hint="eastAsia" w:ascii="宋体" w:hAnsi="宋体" w:cs="宋体"/>
          <w:szCs w:val="21"/>
        </w:rPr>
        <w:fldChar w:fldCharType="end"/>
      </w:r>
    </w:p>
    <w:p w14:paraId="5D1FAEC8">
      <w:pPr>
        <w:tabs>
          <w:tab w:val="left" w:pos="3855"/>
        </w:tabs>
        <w:spacing w:line="360" w:lineRule="auto"/>
        <w:rPr>
          <w:rFonts w:ascii="宋体" w:hAnsi="宋体" w:cs="宋体"/>
          <w:szCs w:val="21"/>
        </w:rPr>
      </w:pPr>
      <w:r>
        <w:rPr>
          <w:rFonts w:hint="eastAsia" w:ascii="宋体" w:hAnsi="宋体" w:cs="宋体"/>
          <w:szCs w:val="21"/>
        </w:rPr>
        <w:t>(3)合同施工期市场价格的确定方法：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input851 \* MERGEFORMAT </w:instrText>
      </w:r>
      <w:r>
        <w:rPr>
          <w:rFonts w:hint="eastAsia" w:ascii="宋体" w:hAnsi="宋体" w:cs="宋体"/>
          <w:szCs w:val="21"/>
        </w:rPr>
        <w:fldChar w:fldCharType="end"/>
      </w:r>
    </w:p>
    <w:p w14:paraId="23811C94">
      <w:pPr>
        <w:tabs>
          <w:tab w:val="left" w:pos="3855"/>
        </w:tabs>
        <w:spacing w:line="360" w:lineRule="auto"/>
        <w:outlineLvl w:val="3"/>
        <w:rPr>
          <w:rFonts w:ascii="宋体" w:hAnsi="宋体" w:cs="宋体"/>
          <w:szCs w:val="21"/>
        </w:rPr>
      </w:pPr>
      <w:r>
        <w:rPr>
          <w:rFonts w:hint="eastAsia" w:ascii="宋体" w:hAnsi="宋体" w:cs="宋体"/>
          <w:szCs w:val="21"/>
        </w:rPr>
        <w:t>16.1.2.3物价波动引起价格调整的方法</w:t>
      </w:r>
    </w:p>
    <w:p w14:paraId="2B321F27">
      <w:pPr>
        <w:tabs>
          <w:tab w:val="left" w:pos="3855"/>
        </w:tabs>
        <w:spacing w:line="360" w:lineRule="auto"/>
        <w:rPr>
          <w:rFonts w:ascii="宋体" w:hAnsi="宋体" w:cs="宋体"/>
          <w:szCs w:val="21"/>
        </w:rPr>
      </w:pPr>
      <w:r>
        <w:rPr>
          <w:rFonts w:hint="eastAsia" w:ascii="宋体" w:hAnsi="宋体" w:cs="宋体"/>
          <w:szCs w:val="21"/>
        </w:rPr>
        <w:t>(1)本工程单价调整方法采用</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input852 \* MERGEFORMAT </w:instrText>
      </w:r>
      <w:r>
        <w:rPr>
          <w:rFonts w:hint="eastAsia" w:ascii="宋体" w:hAnsi="宋体" w:cs="宋体"/>
          <w:szCs w:val="21"/>
        </w:rPr>
        <w:fldChar w:fldCharType="end"/>
      </w:r>
      <w:r>
        <w:rPr>
          <w:rFonts w:hint="eastAsia" w:ascii="宋体" w:hAnsi="宋体" w:cs="宋体"/>
          <w:szCs w:val="21"/>
        </w:rPr>
        <w:t>（加权平均法/算数平均法/其他计算方法）。</w:t>
      </w:r>
    </w:p>
    <w:p w14:paraId="3CE1D649">
      <w:pPr>
        <w:tabs>
          <w:tab w:val="left" w:pos="3855"/>
        </w:tabs>
        <w:spacing w:line="360" w:lineRule="auto"/>
        <w:rPr>
          <w:rFonts w:ascii="宋体" w:hAnsi="宋体" w:cs="宋体"/>
          <w:szCs w:val="21"/>
        </w:rPr>
      </w:pPr>
      <w:r>
        <w:rPr>
          <w:rFonts w:hint="eastAsia" w:ascii="宋体" w:hAnsi="宋体" w:cs="宋体"/>
          <w:szCs w:val="21"/>
        </w:rPr>
        <w:t>采用加权平均法：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input853 \* MERGEFORMAT </w:instrText>
      </w:r>
      <w:r>
        <w:rPr>
          <w:rFonts w:hint="eastAsia" w:ascii="宋体" w:hAnsi="宋体" w:cs="宋体"/>
          <w:szCs w:val="21"/>
        </w:rPr>
        <w:fldChar w:fldCharType="end"/>
      </w:r>
    </w:p>
    <w:p w14:paraId="3EE6946C">
      <w:pPr>
        <w:tabs>
          <w:tab w:val="left" w:pos="3855"/>
        </w:tabs>
        <w:spacing w:line="360" w:lineRule="auto"/>
        <w:rPr>
          <w:rFonts w:ascii="宋体" w:hAnsi="宋体" w:cs="宋体"/>
          <w:szCs w:val="21"/>
        </w:rPr>
      </w:pPr>
      <w:r>
        <w:rPr>
          <w:rFonts w:hint="eastAsia" w:ascii="宋体" w:hAnsi="宋体" w:cs="宋体"/>
          <w:szCs w:val="21"/>
        </w:rPr>
        <w:t>采用算数平均法：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input854 \* MERGEFORMAT </w:instrText>
      </w:r>
      <w:r>
        <w:rPr>
          <w:rFonts w:hint="eastAsia" w:ascii="宋体" w:hAnsi="宋体" w:cs="宋体"/>
          <w:szCs w:val="21"/>
        </w:rPr>
        <w:fldChar w:fldCharType="end"/>
      </w:r>
    </w:p>
    <w:p w14:paraId="2ED8CE46">
      <w:pPr>
        <w:tabs>
          <w:tab w:val="left" w:pos="3855"/>
        </w:tabs>
        <w:spacing w:line="360" w:lineRule="auto"/>
        <w:rPr>
          <w:rFonts w:ascii="宋体" w:hAnsi="宋体" w:cs="宋体"/>
          <w:szCs w:val="21"/>
        </w:rPr>
      </w:pPr>
      <w:r>
        <w:rPr>
          <w:rFonts w:hint="eastAsia" w:ascii="宋体" w:hAnsi="宋体" w:cs="宋体"/>
          <w:szCs w:val="21"/>
        </w:rPr>
        <w:t>采用其他计算方法：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input855 \* MERGEFORMAT </w:instrText>
      </w:r>
      <w:r>
        <w:rPr>
          <w:rFonts w:hint="eastAsia" w:ascii="宋体" w:hAnsi="宋体" w:cs="宋体"/>
          <w:szCs w:val="21"/>
        </w:rPr>
        <w:fldChar w:fldCharType="end"/>
      </w:r>
    </w:p>
    <w:p w14:paraId="4E6E2181">
      <w:pPr>
        <w:tabs>
          <w:tab w:val="left" w:pos="3855"/>
        </w:tabs>
        <w:spacing w:line="360" w:lineRule="auto"/>
        <w:outlineLvl w:val="3"/>
        <w:rPr>
          <w:rFonts w:ascii="宋体" w:hAnsi="宋体" w:cs="宋体"/>
          <w:szCs w:val="21"/>
          <w:u w:val="single"/>
        </w:rPr>
      </w:pPr>
      <w:r>
        <w:rPr>
          <w:rFonts w:hint="eastAsia" w:ascii="宋体" w:hAnsi="宋体" w:cs="宋体"/>
          <w:szCs w:val="21"/>
        </w:rPr>
        <w:t>16.1.2.4其他约定：</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input509 \* MERGEFORMAT </w:instrText>
      </w:r>
      <w:r>
        <w:rPr>
          <w:rFonts w:hint="eastAsia" w:ascii="宋体" w:hAnsi="宋体" w:cs="宋体"/>
          <w:szCs w:val="21"/>
        </w:rPr>
        <w:fldChar w:fldCharType="end"/>
      </w:r>
    </w:p>
    <w:p w14:paraId="400E1837">
      <w:pPr>
        <w:tabs>
          <w:tab w:val="left" w:pos="3855"/>
        </w:tabs>
        <w:spacing w:line="360" w:lineRule="auto"/>
        <w:outlineLvl w:val="2"/>
        <w:rPr>
          <w:rFonts w:ascii="宋体" w:hAnsi="宋体" w:cs="宋体"/>
          <w:szCs w:val="21"/>
        </w:rPr>
      </w:pPr>
      <w:r>
        <w:rPr>
          <w:rFonts w:hint="eastAsia" w:ascii="宋体" w:hAnsi="宋体" w:cs="宋体"/>
          <w:szCs w:val="21"/>
        </w:rPr>
        <w:t>16.1.3其他价格调整方法：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input856 \* MERGEFORMAT </w:instrText>
      </w:r>
      <w:r>
        <w:rPr>
          <w:rFonts w:hint="eastAsia" w:ascii="宋体" w:hAnsi="宋体" w:cs="宋体"/>
          <w:szCs w:val="21"/>
        </w:rPr>
        <w:fldChar w:fldCharType="end"/>
      </w:r>
    </w:p>
    <w:p w14:paraId="77C3D61C">
      <w:pPr>
        <w:tabs>
          <w:tab w:val="left" w:pos="3855"/>
        </w:tabs>
        <w:spacing w:line="360" w:lineRule="auto"/>
        <w:outlineLvl w:val="0"/>
        <w:rPr>
          <w:rFonts w:ascii="宋体" w:hAnsi="宋体" w:cs="宋体"/>
          <w:szCs w:val="21"/>
        </w:rPr>
      </w:pPr>
      <w:r>
        <w:rPr>
          <w:rFonts w:hint="eastAsia" w:ascii="宋体" w:hAnsi="宋体" w:cs="宋体"/>
          <w:szCs w:val="21"/>
        </w:rPr>
        <w:t>17.计量与支付</w:t>
      </w:r>
    </w:p>
    <w:p w14:paraId="2EF9F219">
      <w:pPr>
        <w:tabs>
          <w:tab w:val="left" w:pos="3855"/>
        </w:tabs>
        <w:spacing w:line="360" w:lineRule="auto"/>
        <w:outlineLvl w:val="1"/>
        <w:rPr>
          <w:rFonts w:ascii="宋体" w:hAnsi="宋体" w:cs="宋体"/>
          <w:szCs w:val="21"/>
        </w:rPr>
      </w:pPr>
      <w:r>
        <w:rPr>
          <w:rFonts w:hint="eastAsia" w:ascii="宋体" w:hAnsi="宋体" w:cs="宋体"/>
          <w:szCs w:val="21"/>
        </w:rPr>
        <w:t>17.1计量</w:t>
      </w:r>
    </w:p>
    <w:p w14:paraId="45C981B9">
      <w:pPr>
        <w:tabs>
          <w:tab w:val="left" w:pos="3855"/>
        </w:tabs>
        <w:spacing w:line="360" w:lineRule="auto"/>
        <w:outlineLvl w:val="2"/>
        <w:rPr>
          <w:rFonts w:ascii="宋体" w:hAnsi="宋体" w:cs="宋体"/>
          <w:szCs w:val="21"/>
        </w:rPr>
      </w:pPr>
      <w:r>
        <w:rPr>
          <w:rFonts w:hint="eastAsia" w:ascii="宋体" w:hAnsi="宋体" w:cs="宋体"/>
          <w:szCs w:val="21"/>
        </w:rPr>
        <w:t>17.1.3计量周期</w:t>
      </w:r>
    </w:p>
    <w:p w14:paraId="5E826B79">
      <w:pPr>
        <w:tabs>
          <w:tab w:val="left" w:pos="3855"/>
        </w:tabs>
        <w:spacing w:line="360" w:lineRule="auto"/>
        <w:rPr>
          <w:rFonts w:ascii="宋体" w:hAnsi="宋体" w:cs="宋体"/>
          <w:szCs w:val="21"/>
        </w:rPr>
      </w:pPr>
      <w:r>
        <w:rPr>
          <w:rFonts w:hint="eastAsia" w:ascii="宋体" w:hAnsi="宋体" w:cs="宋体"/>
          <w:szCs w:val="21"/>
        </w:rPr>
        <w:t>(1)每月</w:t>
      </w:r>
      <w:r>
        <w:rPr>
          <w:rFonts w:hint="eastAsia" w:ascii="宋体" w:hAnsi="宋体" w:cs="宋体"/>
          <w:szCs w:val="21"/>
          <w:u w:val="single"/>
        </w:rPr>
        <w:t>25</w:t>
      </w:r>
      <w:r>
        <w:rPr>
          <w:rFonts w:hint="eastAsia" w:ascii="宋体" w:hAnsi="宋体" w:cs="宋体"/>
          <w:szCs w:val="21"/>
        </w:rPr>
        <w:fldChar w:fldCharType="begin"/>
      </w:r>
      <w:r>
        <w:rPr>
          <w:rFonts w:hint="eastAsia" w:ascii="宋体" w:hAnsi="宋体" w:cs="宋体"/>
          <w:szCs w:val="21"/>
        </w:rPr>
        <w:instrText xml:space="preserve"> AUTOTEXT  input510 \* MERGEFORMAT </w:instrText>
      </w:r>
      <w:r>
        <w:rPr>
          <w:rFonts w:hint="eastAsia" w:ascii="宋体" w:hAnsi="宋体" w:cs="宋体"/>
          <w:szCs w:val="21"/>
        </w:rPr>
        <w:fldChar w:fldCharType="end"/>
      </w:r>
      <w:r>
        <w:rPr>
          <w:rFonts w:hint="eastAsia" w:ascii="宋体" w:hAnsi="宋体" w:cs="宋体"/>
          <w:szCs w:val="21"/>
        </w:rPr>
        <w:t>日为当月计量截止日期（不含当日）和下月计量起始日期（含当日）。</w:t>
      </w:r>
    </w:p>
    <w:p w14:paraId="4C61F5EB">
      <w:pPr>
        <w:tabs>
          <w:tab w:val="left" w:pos="3855"/>
        </w:tabs>
        <w:spacing w:line="360" w:lineRule="auto"/>
        <w:rPr>
          <w:rFonts w:ascii="宋体" w:hAnsi="宋体" w:cs="宋体"/>
          <w:szCs w:val="21"/>
        </w:rPr>
      </w:pPr>
      <w:r>
        <w:rPr>
          <w:rFonts w:hint="eastAsia" w:ascii="宋体" w:hAnsi="宋体" w:cs="宋体"/>
          <w:szCs w:val="21"/>
        </w:rPr>
        <w:t>(2)本合同</w:t>
      </w:r>
      <w:r>
        <w:rPr>
          <w:rFonts w:hint="eastAsia" w:ascii="宋体" w:hAnsi="宋体" w:cs="宋体"/>
          <w:szCs w:val="21"/>
          <w:u w:val="single"/>
        </w:rPr>
        <w:t xml:space="preserve"> 不执行（采用总价合同形式时） </w:t>
      </w:r>
      <w:r>
        <w:rPr>
          <w:rFonts w:hint="eastAsia" w:ascii="宋体" w:hAnsi="宋体" w:cs="宋体"/>
          <w:szCs w:val="21"/>
        </w:rPr>
        <w:fldChar w:fldCharType="begin"/>
      </w:r>
      <w:r>
        <w:rPr>
          <w:rFonts w:hint="eastAsia" w:ascii="宋体" w:hAnsi="宋体" w:cs="宋体"/>
          <w:szCs w:val="21"/>
        </w:rPr>
        <w:instrText xml:space="preserve"> AUTOTEXT  input511 \* MERGEFORMAT </w:instrText>
      </w:r>
      <w:r>
        <w:rPr>
          <w:rFonts w:hint="eastAsia" w:ascii="宋体" w:hAnsi="宋体" w:cs="宋体"/>
          <w:szCs w:val="21"/>
        </w:rPr>
        <w:fldChar w:fldCharType="end"/>
      </w:r>
      <w:r>
        <w:rPr>
          <w:rFonts w:hint="eastAsia" w:ascii="宋体" w:hAnsi="宋体" w:cs="宋体"/>
          <w:szCs w:val="21"/>
        </w:rPr>
        <w:t>（执行（采用单价合同形式时）/不执行（采用总价合同形式时））单价子目已完成工程量按月计量。</w:t>
      </w:r>
    </w:p>
    <w:p w14:paraId="652426F7">
      <w:pPr>
        <w:tabs>
          <w:tab w:val="left" w:pos="3855"/>
        </w:tabs>
        <w:spacing w:line="360" w:lineRule="auto"/>
        <w:rPr>
          <w:rFonts w:ascii="宋体" w:hAnsi="宋体" w:cs="宋体"/>
          <w:szCs w:val="21"/>
        </w:rPr>
      </w:pPr>
      <w:r>
        <w:rPr>
          <w:rFonts w:hint="eastAsia" w:ascii="宋体" w:hAnsi="宋体" w:cs="宋体"/>
          <w:szCs w:val="21"/>
        </w:rPr>
        <w:t>(3)总价子目计量方式采用</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input512 \* MERGEFORMAT </w:instrText>
      </w:r>
      <w:r>
        <w:rPr>
          <w:rFonts w:hint="eastAsia" w:ascii="宋体" w:hAnsi="宋体" w:cs="宋体"/>
          <w:szCs w:val="21"/>
        </w:rPr>
        <w:fldChar w:fldCharType="end"/>
      </w:r>
      <w:r>
        <w:rPr>
          <w:rFonts w:hint="eastAsia" w:ascii="宋体" w:hAnsi="宋体" w:cs="宋体"/>
          <w:szCs w:val="21"/>
        </w:rPr>
        <w:t>（支付分解报告/按实际完成工程量计量）。</w:t>
      </w:r>
    </w:p>
    <w:p w14:paraId="36F7AF77">
      <w:pPr>
        <w:tabs>
          <w:tab w:val="left" w:pos="3855"/>
        </w:tabs>
        <w:spacing w:line="360" w:lineRule="auto"/>
        <w:outlineLvl w:val="2"/>
        <w:rPr>
          <w:rFonts w:ascii="宋体" w:hAnsi="宋体" w:cs="宋体"/>
          <w:szCs w:val="21"/>
        </w:rPr>
      </w:pPr>
      <w:r>
        <w:rPr>
          <w:rFonts w:hint="eastAsia" w:ascii="宋体" w:hAnsi="宋体" w:cs="宋体"/>
          <w:szCs w:val="21"/>
        </w:rPr>
        <w:t>17.1.5总价子目的计量（适用于采用支付分解报告）</w:t>
      </w:r>
    </w:p>
    <w:p w14:paraId="57134AFC">
      <w:pPr>
        <w:tabs>
          <w:tab w:val="left" w:pos="3855"/>
        </w:tabs>
        <w:spacing w:line="360" w:lineRule="auto"/>
        <w:rPr>
          <w:rFonts w:ascii="宋体" w:hAnsi="宋体" w:cs="宋体"/>
          <w:szCs w:val="21"/>
        </w:rPr>
      </w:pPr>
      <w:r>
        <w:rPr>
          <w:rFonts w:hint="eastAsia" w:ascii="宋体" w:hAnsi="宋体" w:cs="宋体"/>
          <w:szCs w:val="21"/>
        </w:rPr>
        <w:t>(1)采用支付分解报告计量方式的，总价子目的价格调整方法：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input513 \* MERGEFORMAT </w:instrText>
      </w:r>
      <w:r>
        <w:rPr>
          <w:rFonts w:hint="eastAsia" w:ascii="宋体" w:hAnsi="宋体" w:cs="宋体"/>
          <w:szCs w:val="21"/>
        </w:rPr>
        <w:fldChar w:fldCharType="end"/>
      </w:r>
    </w:p>
    <w:p w14:paraId="1A308ED3">
      <w:pPr>
        <w:tabs>
          <w:tab w:val="left" w:pos="3855"/>
        </w:tabs>
        <w:spacing w:line="360" w:lineRule="auto"/>
        <w:rPr>
          <w:rFonts w:ascii="宋体" w:hAnsi="宋体" w:cs="宋体"/>
          <w:szCs w:val="21"/>
        </w:rPr>
      </w:pPr>
      <w:r>
        <w:rPr>
          <w:rFonts w:hint="eastAsia" w:ascii="宋体" w:hAnsi="宋体" w:cs="宋体"/>
          <w:szCs w:val="21"/>
        </w:rPr>
        <w:t>17.1.5总价子目的计量（适用于采用按实际完成工程量计量）</w:t>
      </w:r>
    </w:p>
    <w:p w14:paraId="53E3EFFF">
      <w:pPr>
        <w:tabs>
          <w:tab w:val="left" w:pos="3855"/>
        </w:tabs>
        <w:spacing w:line="360" w:lineRule="auto"/>
        <w:rPr>
          <w:rFonts w:ascii="宋体" w:hAnsi="宋体" w:cs="宋体"/>
          <w:szCs w:val="21"/>
        </w:rPr>
      </w:pPr>
      <w:r>
        <w:rPr>
          <w:rFonts w:hint="eastAsia" w:ascii="宋体" w:hAnsi="宋体" w:cs="宋体"/>
          <w:szCs w:val="21"/>
        </w:rPr>
        <w:t>(1)采用按实际完成工程量计量方式的,总价子目的价格调整方法：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input514 \* MERGEFORMAT </w:instrText>
      </w:r>
      <w:r>
        <w:rPr>
          <w:rFonts w:hint="eastAsia" w:ascii="宋体" w:hAnsi="宋体" w:cs="宋体"/>
          <w:szCs w:val="21"/>
        </w:rPr>
        <w:fldChar w:fldCharType="end"/>
      </w:r>
    </w:p>
    <w:p w14:paraId="6A7ADE14">
      <w:pPr>
        <w:tabs>
          <w:tab w:val="left" w:pos="3855"/>
        </w:tabs>
        <w:spacing w:line="360" w:lineRule="auto"/>
        <w:outlineLvl w:val="1"/>
        <w:rPr>
          <w:rFonts w:ascii="宋体" w:hAnsi="宋体" w:cs="宋体"/>
          <w:szCs w:val="21"/>
        </w:rPr>
      </w:pPr>
      <w:r>
        <w:rPr>
          <w:rFonts w:hint="eastAsia" w:ascii="宋体" w:hAnsi="宋体" w:cs="宋体"/>
          <w:szCs w:val="21"/>
        </w:rPr>
        <w:t>17.2预付款</w:t>
      </w:r>
    </w:p>
    <w:p w14:paraId="06A69A4F">
      <w:pPr>
        <w:tabs>
          <w:tab w:val="left" w:pos="3855"/>
        </w:tabs>
        <w:spacing w:line="360" w:lineRule="auto"/>
        <w:rPr>
          <w:rFonts w:ascii="宋体" w:hAnsi="宋体" w:cs="宋体"/>
          <w:szCs w:val="21"/>
        </w:rPr>
      </w:pPr>
      <w:r>
        <w:rPr>
          <w:rFonts w:hint="eastAsia" w:ascii="宋体" w:hAnsi="宋体" w:cs="宋体"/>
          <w:szCs w:val="21"/>
        </w:rPr>
        <w:t>17.2.1预付款</w:t>
      </w:r>
    </w:p>
    <w:p w14:paraId="407A7189">
      <w:pPr>
        <w:tabs>
          <w:tab w:val="left" w:pos="3855"/>
        </w:tabs>
        <w:spacing w:line="360" w:lineRule="auto"/>
        <w:rPr>
          <w:rFonts w:ascii="宋体" w:hAnsi="宋体" w:cs="宋体"/>
          <w:szCs w:val="21"/>
        </w:rPr>
      </w:pPr>
      <w:r>
        <w:rPr>
          <w:rFonts w:hint="eastAsia" w:ascii="宋体" w:hAnsi="宋体" w:cs="宋体"/>
          <w:szCs w:val="21"/>
        </w:rPr>
        <w:t>(1)预付款额度</w:t>
      </w:r>
    </w:p>
    <w:p w14:paraId="34626E63">
      <w:pPr>
        <w:tabs>
          <w:tab w:val="left" w:pos="3855"/>
        </w:tabs>
        <w:spacing w:line="360" w:lineRule="auto"/>
        <w:rPr>
          <w:rFonts w:ascii="宋体" w:hAnsi="宋体" w:cs="宋体"/>
          <w:szCs w:val="21"/>
        </w:rPr>
      </w:pPr>
      <w:r>
        <w:rPr>
          <w:rFonts w:hint="eastAsia" w:ascii="宋体" w:hAnsi="宋体" w:cs="宋体"/>
          <w:szCs w:val="21"/>
        </w:rPr>
        <w:t>预付款额度：</w:t>
      </w:r>
      <w:r>
        <w:rPr>
          <w:rFonts w:hint="eastAsia" w:ascii="宋体" w:hAnsi="宋体" w:cs="宋体"/>
          <w:szCs w:val="21"/>
          <w:u w:val="single"/>
        </w:rPr>
        <w:t>签约合同价（扣除暂列金额）的</w:t>
      </w:r>
      <w:r>
        <w:rPr>
          <w:rFonts w:ascii="宋体" w:hAnsi="宋体" w:cs="宋体"/>
          <w:szCs w:val="21"/>
          <w:u w:val="single"/>
        </w:rPr>
        <w:t>20</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input515 \* MERGEFORMAT </w:instrText>
      </w:r>
      <w:r>
        <w:rPr>
          <w:rFonts w:hint="eastAsia" w:ascii="宋体" w:hAnsi="宋体" w:cs="宋体"/>
          <w:szCs w:val="21"/>
        </w:rPr>
        <w:fldChar w:fldCharType="end"/>
      </w:r>
    </w:p>
    <w:p w14:paraId="3F3188BB">
      <w:pPr>
        <w:tabs>
          <w:tab w:val="left" w:pos="3855"/>
        </w:tabs>
        <w:spacing w:line="360" w:lineRule="auto"/>
        <w:rPr>
          <w:rFonts w:ascii="宋体" w:hAnsi="宋体" w:cs="宋体"/>
          <w:szCs w:val="21"/>
        </w:rPr>
      </w:pPr>
      <w:r>
        <w:rPr>
          <w:rFonts w:hint="eastAsia" w:ascii="宋体" w:hAnsi="宋体" w:cs="宋体"/>
          <w:szCs w:val="21"/>
        </w:rPr>
        <w:t>其中：</w:t>
      </w:r>
      <w:r>
        <w:rPr>
          <w:rFonts w:hint="eastAsia" w:ascii="宋体" w:hAnsi="宋体" w:cs="宋体"/>
          <w:szCs w:val="21"/>
          <w:u w:val="single"/>
        </w:rPr>
        <w:t>农民工工伤保险费：发包人向承包人一次性支付农民工工伤保险费的100%</w:t>
      </w:r>
      <w:r>
        <w:rPr>
          <w:rFonts w:hint="eastAsia" w:ascii="宋体" w:hAnsi="宋体" w:cs="宋体"/>
          <w:szCs w:val="21"/>
        </w:rPr>
        <w:fldChar w:fldCharType="begin"/>
      </w:r>
      <w:r>
        <w:rPr>
          <w:rFonts w:hint="eastAsia" w:ascii="宋体" w:hAnsi="宋体" w:cs="宋体"/>
          <w:szCs w:val="21"/>
        </w:rPr>
        <w:instrText xml:space="preserve"> AUTOTEXT  input517 \* MERGEFORMAT </w:instrText>
      </w:r>
      <w:r>
        <w:rPr>
          <w:rFonts w:hint="eastAsia" w:ascii="宋体" w:hAnsi="宋体" w:cs="宋体"/>
          <w:szCs w:val="21"/>
        </w:rPr>
        <w:fldChar w:fldCharType="end"/>
      </w:r>
      <w:r>
        <w:rPr>
          <w:rFonts w:hint="eastAsia" w:ascii="宋体" w:hAnsi="宋体" w:cs="宋体"/>
          <w:szCs w:val="21"/>
        </w:rPr>
        <w:fldChar w:fldCharType="begin"/>
      </w:r>
      <w:r>
        <w:rPr>
          <w:rFonts w:hint="eastAsia" w:ascii="宋体" w:hAnsi="宋体" w:cs="宋体"/>
          <w:szCs w:val="21"/>
        </w:rPr>
        <w:instrText xml:space="preserve"> AUTOTEXT  input857 \* MERGEFORMAT </w:instrText>
      </w:r>
      <w:r>
        <w:rPr>
          <w:rFonts w:hint="eastAsia" w:ascii="宋体" w:hAnsi="宋体" w:cs="宋体"/>
          <w:szCs w:val="21"/>
        </w:rPr>
        <w:fldChar w:fldCharType="end"/>
      </w:r>
    </w:p>
    <w:p w14:paraId="6A5753AF">
      <w:pPr>
        <w:tabs>
          <w:tab w:val="left" w:pos="3855"/>
        </w:tabs>
        <w:spacing w:line="360" w:lineRule="auto"/>
        <w:rPr>
          <w:rFonts w:ascii="宋体" w:hAnsi="宋体" w:cs="宋体"/>
          <w:szCs w:val="21"/>
        </w:rPr>
      </w:pPr>
      <w:r>
        <w:rPr>
          <w:rFonts w:hint="eastAsia" w:ascii="宋体" w:hAnsi="宋体" w:cs="宋体"/>
          <w:szCs w:val="21"/>
        </w:rPr>
        <w:t>(2)预付办法</w:t>
      </w:r>
    </w:p>
    <w:p w14:paraId="3332540A">
      <w:pPr>
        <w:tabs>
          <w:tab w:val="left" w:pos="3855"/>
        </w:tabs>
        <w:spacing w:line="360" w:lineRule="auto"/>
        <w:rPr>
          <w:rFonts w:ascii="宋体" w:hAnsi="宋体" w:cs="宋体"/>
          <w:szCs w:val="21"/>
        </w:rPr>
      </w:pPr>
      <w:r>
        <w:rPr>
          <w:rFonts w:hint="eastAsia" w:ascii="宋体" w:hAnsi="宋体" w:cs="宋体"/>
          <w:szCs w:val="21"/>
        </w:rPr>
        <w:t>预付款预付办法：</w:t>
      </w:r>
      <w:r>
        <w:rPr>
          <w:rFonts w:hint="eastAsia" w:ascii="宋体" w:hAnsi="宋体" w:cs="宋体"/>
          <w:szCs w:val="21"/>
          <w:u w:val="single"/>
        </w:rPr>
        <w:t>承包人提交正式发票后，发包人一次性向承包人支付预付款。</w:t>
      </w:r>
      <w:r>
        <w:rPr>
          <w:rFonts w:hint="eastAsia" w:ascii="宋体" w:hAnsi="宋体" w:cs="宋体"/>
          <w:szCs w:val="21"/>
        </w:rPr>
        <w:fldChar w:fldCharType="begin"/>
      </w:r>
      <w:r>
        <w:rPr>
          <w:rFonts w:hint="eastAsia" w:ascii="宋体" w:hAnsi="宋体" w:cs="宋体"/>
          <w:szCs w:val="21"/>
        </w:rPr>
        <w:instrText xml:space="preserve"> AUTOTEXT  input518 \* MERGEFORMAT </w:instrText>
      </w:r>
      <w:r>
        <w:rPr>
          <w:rFonts w:hint="eastAsia" w:ascii="宋体" w:hAnsi="宋体" w:cs="宋体"/>
          <w:szCs w:val="21"/>
        </w:rPr>
        <w:fldChar w:fldCharType="end"/>
      </w:r>
    </w:p>
    <w:p w14:paraId="2CCED9F4">
      <w:pPr>
        <w:tabs>
          <w:tab w:val="left" w:pos="3855"/>
        </w:tabs>
        <w:spacing w:line="360" w:lineRule="auto"/>
        <w:rPr>
          <w:rFonts w:ascii="宋体" w:hAnsi="宋体" w:cs="宋体"/>
          <w:szCs w:val="21"/>
        </w:rPr>
      </w:pPr>
      <w:r>
        <w:rPr>
          <w:rFonts w:hint="eastAsia" w:ascii="宋体" w:hAnsi="宋体" w:cs="宋体"/>
          <w:szCs w:val="21"/>
        </w:rPr>
        <w:t>预付款的支付时间：</w:t>
      </w:r>
      <w:r>
        <w:rPr>
          <w:rFonts w:hint="eastAsia" w:ascii="宋体" w:hAnsi="宋体" w:cs="宋体"/>
          <w:szCs w:val="21"/>
          <w:u w:val="single"/>
        </w:rPr>
        <w:t>自收到发票后15日内。若承包人提交发票延迟，发包人的付款期限顺延，且不承担因此产生的迟延支付责任。</w:t>
      </w:r>
      <w:r>
        <w:rPr>
          <w:rFonts w:hint="eastAsia" w:ascii="宋体" w:hAnsi="宋体" w:cs="宋体"/>
          <w:szCs w:val="21"/>
        </w:rPr>
        <w:fldChar w:fldCharType="begin"/>
      </w:r>
      <w:r>
        <w:rPr>
          <w:rFonts w:hint="eastAsia" w:ascii="宋体" w:hAnsi="宋体" w:cs="宋体"/>
          <w:szCs w:val="21"/>
        </w:rPr>
        <w:instrText xml:space="preserve"> AUTOTEXT  input519 \* MERGEFORMAT </w:instrText>
      </w:r>
      <w:r>
        <w:rPr>
          <w:rFonts w:hint="eastAsia" w:ascii="宋体" w:hAnsi="宋体" w:cs="宋体"/>
          <w:szCs w:val="21"/>
        </w:rPr>
        <w:fldChar w:fldCharType="end"/>
      </w:r>
    </w:p>
    <w:p w14:paraId="168C22B6">
      <w:pPr>
        <w:tabs>
          <w:tab w:val="left" w:pos="3855"/>
        </w:tabs>
        <w:spacing w:line="360" w:lineRule="auto"/>
        <w:rPr>
          <w:rFonts w:ascii="宋体" w:hAnsi="宋体" w:cs="宋体"/>
          <w:szCs w:val="21"/>
        </w:rPr>
      </w:pPr>
      <w:r>
        <w:rPr>
          <w:rFonts w:hint="eastAsia" w:ascii="宋体" w:hAnsi="宋体" w:cs="宋体"/>
          <w:szCs w:val="21"/>
        </w:rPr>
        <w:t>（3）安全文明施工费用预付额度及方式：</w:t>
      </w:r>
    </w:p>
    <w:p w14:paraId="191C5505">
      <w:pPr>
        <w:tabs>
          <w:tab w:val="left" w:pos="3855"/>
        </w:tabs>
        <w:spacing w:line="360" w:lineRule="auto"/>
        <w:rPr>
          <w:rFonts w:ascii="宋体" w:hAnsi="宋体" w:cs="宋体"/>
          <w:szCs w:val="21"/>
        </w:rPr>
      </w:pPr>
      <w:r>
        <w:rPr>
          <w:rFonts w:hint="eastAsia" w:ascii="宋体" w:hAnsi="宋体" w:cs="宋体"/>
          <w:szCs w:val="21"/>
        </w:rPr>
        <w:t>安全文明施工费用的预付不受上述预付办法和支付时间约定的制约。安全文明施工费用按以下时间节点和金额进行预付：</w:t>
      </w:r>
    </w:p>
    <w:p w14:paraId="6EF65D6E">
      <w:pPr>
        <w:tabs>
          <w:tab w:val="left" w:pos="3855"/>
        </w:tabs>
        <w:spacing w:line="360" w:lineRule="auto"/>
        <w:rPr>
          <w:rFonts w:ascii="宋体" w:hAnsi="宋体" w:cs="宋体"/>
          <w:szCs w:val="21"/>
        </w:rPr>
      </w:pPr>
      <w:r>
        <w:rPr>
          <w:rFonts w:hint="eastAsia" w:ascii="宋体" w:hAnsi="宋体" w:cs="宋体"/>
          <w:szCs w:val="21"/>
        </w:rPr>
        <w:t>发包人应当在不迟于约定的开工日期前的15天内，将签约合同价中载明的安全文明施工费用总额的50%一次性预付给承包人。</w:t>
      </w:r>
    </w:p>
    <w:p w14:paraId="7C6B4323">
      <w:pPr>
        <w:tabs>
          <w:tab w:val="left" w:pos="3855"/>
        </w:tabs>
        <w:spacing w:line="360" w:lineRule="auto"/>
        <w:rPr>
          <w:rFonts w:ascii="宋体" w:hAnsi="宋体" w:cs="宋体"/>
          <w:szCs w:val="21"/>
        </w:rPr>
      </w:pPr>
      <w:r>
        <w:rPr>
          <w:rFonts w:hint="eastAsia" w:ascii="宋体" w:hAnsi="宋体" w:cs="宋体"/>
          <w:szCs w:val="21"/>
        </w:rPr>
        <w:t>发包人应当在签约合同价中分部分项工程项目的完成价款比例达到30%（两者中以条件先满足的为准）7天内，预付至签约合同价中载明的安全文明施工费用总额的70%。</w:t>
      </w:r>
    </w:p>
    <w:p w14:paraId="39FB916C">
      <w:pPr>
        <w:tabs>
          <w:tab w:val="left" w:pos="3855"/>
        </w:tabs>
        <w:spacing w:line="360" w:lineRule="auto"/>
        <w:rPr>
          <w:rFonts w:ascii="宋体" w:hAnsi="宋体" w:cs="宋体"/>
          <w:szCs w:val="21"/>
        </w:rPr>
      </w:pPr>
      <w:r>
        <w:rPr>
          <w:rFonts w:hint="eastAsia" w:ascii="宋体" w:hAnsi="宋体" w:cs="宋体"/>
          <w:szCs w:val="21"/>
        </w:rPr>
        <w:t>发包人应当在安全生产标准化考评、评定达到（含整改后达到）或超过合同约定的安全生产标准化管理目标之日起7天内，预付至签约合同价中载明的安全文明施工费用总额的90%。</w:t>
      </w:r>
    </w:p>
    <w:p w14:paraId="0306B1E2">
      <w:pPr>
        <w:tabs>
          <w:tab w:val="left" w:pos="3855"/>
        </w:tabs>
        <w:spacing w:line="360" w:lineRule="auto"/>
        <w:rPr>
          <w:rFonts w:ascii="宋体" w:hAnsi="宋体" w:cs="宋体"/>
          <w:szCs w:val="21"/>
        </w:rPr>
      </w:pPr>
      <w:r>
        <w:rPr>
          <w:rFonts w:hint="eastAsia" w:ascii="宋体" w:hAnsi="宋体" w:cs="宋体"/>
          <w:szCs w:val="21"/>
        </w:rPr>
        <w:t>发包人应当在工程竣工后，安全生产标准化考评、认定达到或超过合同约定安全生产标准化管理目标并颁发考评证书之日起的7天内，预付至签约合同价中载明的安全文明施工费用总额的100%。</w:t>
      </w:r>
    </w:p>
    <w:p w14:paraId="32E2CFD1">
      <w:pPr>
        <w:tabs>
          <w:tab w:val="left" w:pos="3855"/>
        </w:tabs>
        <w:spacing w:line="360" w:lineRule="auto"/>
        <w:rPr>
          <w:rFonts w:ascii="宋体" w:hAnsi="宋体" w:cs="宋体"/>
          <w:szCs w:val="21"/>
        </w:rPr>
      </w:pPr>
      <w:r>
        <w:rPr>
          <w:rFonts w:hint="eastAsia" w:ascii="宋体" w:hAnsi="宋体" w:cs="宋体"/>
          <w:szCs w:val="21"/>
        </w:rPr>
        <w:t>安全文明施工的预付不抵扣。</w:t>
      </w:r>
    </w:p>
    <w:p w14:paraId="424B5EEB">
      <w:pPr>
        <w:tabs>
          <w:tab w:val="left" w:pos="3855"/>
        </w:tabs>
        <w:spacing w:line="360" w:lineRule="auto"/>
        <w:outlineLvl w:val="2"/>
        <w:rPr>
          <w:rFonts w:ascii="宋体" w:hAnsi="宋体" w:cs="宋体"/>
          <w:szCs w:val="21"/>
        </w:rPr>
      </w:pPr>
      <w:r>
        <w:rPr>
          <w:rFonts w:hint="eastAsia" w:ascii="宋体" w:hAnsi="宋体" w:cs="宋体"/>
          <w:szCs w:val="21"/>
        </w:rPr>
        <w:t>17.2.2预付款的扣回与还清</w:t>
      </w:r>
    </w:p>
    <w:p w14:paraId="60852D9E">
      <w:pPr>
        <w:tabs>
          <w:tab w:val="left" w:pos="3855"/>
        </w:tabs>
        <w:spacing w:line="360" w:lineRule="auto"/>
        <w:rPr>
          <w:rFonts w:ascii="宋体" w:hAnsi="宋体" w:cs="宋体"/>
          <w:szCs w:val="21"/>
        </w:rPr>
      </w:pPr>
      <w:r>
        <w:rPr>
          <w:rFonts w:hint="eastAsia" w:ascii="宋体" w:hAnsi="宋体" w:cs="宋体"/>
          <w:szCs w:val="21"/>
        </w:rPr>
        <w:t>预付款的扣回办法：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input521 \* MERGEFORMAT </w:instrText>
      </w:r>
      <w:r>
        <w:rPr>
          <w:rFonts w:hint="eastAsia" w:ascii="宋体" w:hAnsi="宋体" w:cs="宋体"/>
          <w:szCs w:val="21"/>
        </w:rPr>
        <w:fldChar w:fldCharType="end"/>
      </w:r>
    </w:p>
    <w:p w14:paraId="7033F4D7">
      <w:pPr>
        <w:tabs>
          <w:tab w:val="left" w:pos="3855"/>
        </w:tabs>
        <w:spacing w:line="360" w:lineRule="auto"/>
        <w:outlineLvl w:val="1"/>
        <w:rPr>
          <w:rFonts w:ascii="宋体" w:hAnsi="宋体" w:cs="宋体"/>
          <w:szCs w:val="21"/>
        </w:rPr>
      </w:pPr>
      <w:r>
        <w:rPr>
          <w:rFonts w:hint="eastAsia" w:ascii="宋体" w:hAnsi="宋体" w:cs="宋体"/>
          <w:szCs w:val="21"/>
        </w:rPr>
        <w:t>17.3工程进度付款</w:t>
      </w:r>
    </w:p>
    <w:p w14:paraId="1444D245">
      <w:pPr>
        <w:tabs>
          <w:tab w:val="left" w:pos="3855"/>
        </w:tabs>
        <w:spacing w:line="360" w:lineRule="auto"/>
        <w:outlineLvl w:val="2"/>
        <w:rPr>
          <w:rFonts w:ascii="宋体" w:hAnsi="宋体" w:cs="宋体"/>
          <w:szCs w:val="21"/>
        </w:rPr>
      </w:pPr>
      <w:r>
        <w:rPr>
          <w:rFonts w:hint="eastAsia" w:ascii="宋体" w:hAnsi="宋体" w:cs="宋体"/>
          <w:szCs w:val="21"/>
        </w:rPr>
        <w:t>17.3.2进度付款申请单</w:t>
      </w:r>
    </w:p>
    <w:p w14:paraId="2F4365C7">
      <w:pPr>
        <w:tabs>
          <w:tab w:val="left" w:pos="3855"/>
        </w:tabs>
        <w:spacing w:line="360" w:lineRule="auto"/>
        <w:rPr>
          <w:rFonts w:ascii="宋体" w:hAnsi="宋体" w:cs="宋体"/>
          <w:szCs w:val="21"/>
        </w:rPr>
      </w:pPr>
      <w:r>
        <w:rPr>
          <w:rFonts w:hint="eastAsia" w:ascii="宋体" w:hAnsi="宋体" w:cs="宋体"/>
          <w:szCs w:val="21"/>
        </w:rPr>
        <w:t>进度付款申请单的份数：</w:t>
      </w:r>
      <w:r>
        <w:rPr>
          <w:rFonts w:hint="eastAsia" w:ascii="宋体" w:hAnsi="宋体" w:cs="宋体"/>
          <w:szCs w:val="21"/>
          <w:u w:val="single"/>
        </w:rPr>
        <w:t>5份</w:t>
      </w:r>
      <w:r>
        <w:rPr>
          <w:rFonts w:hint="eastAsia" w:ascii="宋体" w:hAnsi="宋体" w:cs="宋体"/>
          <w:szCs w:val="21"/>
        </w:rPr>
        <w:fldChar w:fldCharType="begin"/>
      </w:r>
      <w:r>
        <w:rPr>
          <w:rFonts w:hint="eastAsia" w:ascii="宋体" w:hAnsi="宋体" w:cs="宋体"/>
          <w:szCs w:val="21"/>
        </w:rPr>
        <w:instrText xml:space="preserve"> AUTOTEXT  input522 \* MERGEFORMAT </w:instrText>
      </w:r>
      <w:r>
        <w:rPr>
          <w:rFonts w:hint="eastAsia" w:ascii="宋体" w:hAnsi="宋体" w:cs="宋体"/>
          <w:szCs w:val="21"/>
        </w:rPr>
        <w:fldChar w:fldCharType="end"/>
      </w:r>
    </w:p>
    <w:p w14:paraId="47A44C6C">
      <w:pPr>
        <w:tabs>
          <w:tab w:val="left" w:pos="3855"/>
        </w:tabs>
        <w:spacing w:line="360" w:lineRule="auto"/>
        <w:rPr>
          <w:rFonts w:ascii="宋体" w:hAnsi="宋体" w:cs="宋体"/>
          <w:szCs w:val="21"/>
        </w:rPr>
      </w:pPr>
      <w:r>
        <w:rPr>
          <w:rFonts w:hint="eastAsia" w:ascii="宋体" w:hAnsi="宋体" w:cs="宋体"/>
          <w:szCs w:val="21"/>
        </w:rPr>
        <w:t>承包人报送监理人的进度付款申请单应包括下列内容：</w:t>
      </w:r>
    </w:p>
    <w:p w14:paraId="0514AFDE">
      <w:pPr>
        <w:tabs>
          <w:tab w:val="left" w:pos="3855"/>
        </w:tabs>
        <w:spacing w:line="360" w:lineRule="auto"/>
        <w:rPr>
          <w:rFonts w:ascii="宋体" w:hAnsi="宋体" w:cs="宋体"/>
          <w:szCs w:val="21"/>
        </w:rPr>
      </w:pPr>
      <w:r>
        <w:rPr>
          <w:rFonts w:hint="eastAsia" w:ascii="宋体" w:hAnsi="宋体" w:cs="宋体"/>
          <w:szCs w:val="21"/>
        </w:rPr>
        <w:t>(6)根据合同应增加和（或）扣减的其他内容金额：</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input858 \* MERGEFORMAT </w:instrText>
      </w:r>
      <w:r>
        <w:rPr>
          <w:rFonts w:hint="eastAsia" w:ascii="宋体" w:hAnsi="宋体" w:cs="宋体"/>
          <w:szCs w:val="21"/>
        </w:rPr>
        <w:fldChar w:fldCharType="end"/>
      </w:r>
    </w:p>
    <w:p w14:paraId="05AB88F5">
      <w:pPr>
        <w:tabs>
          <w:tab w:val="left" w:pos="3855"/>
        </w:tabs>
        <w:spacing w:line="360" w:lineRule="auto"/>
        <w:outlineLvl w:val="2"/>
        <w:rPr>
          <w:rFonts w:ascii="宋体" w:hAnsi="宋体" w:cs="宋体"/>
          <w:szCs w:val="21"/>
        </w:rPr>
      </w:pPr>
      <w:r>
        <w:rPr>
          <w:rFonts w:hint="eastAsia" w:ascii="宋体" w:hAnsi="宋体" w:cs="宋体"/>
          <w:szCs w:val="21"/>
        </w:rPr>
        <w:t>17.3.3进度付款证书和支付时间</w:t>
      </w:r>
    </w:p>
    <w:p w14:paraId="20B1C00D">
      <w:pPr>
        <w:tabs>
          <w:tab w:val="left" w:pos="3855"/>
        </w:tabs>
        <w:spacing w:line="360" w:lineRule="auto"/>
        <w:rPr>
          <w:rFonts w:ascii="宋体" w:hAnsi="宋体" w:cs="宋体"/>
          <w:szCs w:val="21"/>
        </w:rPr>
      </w:pPr>
      <w:r>
        <w:rPr>
          <w:rFonts w:hint="eastAsia" w:ascii="宋体" w:hAnsi="宋体" w:cs="宋体"/>
          <w:szCs w:val="21"/>
        </w:rPr>
        <w:t>(2)逾期付款违约金的计算标准：</w:t>
      </w:r>
      <w:r>
        <w:rPr>
          <w:rFonts w:hint="eastAsia" w:ascii="宋体" w:hAnsi="宋体" w:cs="宋体"/>
          <w:szCs w:val="21"/>
          <w:u w:val="single"/>
        </w:rPr>
        <w:t>按照中国人民银行发布的同期同类贷款利率计算。</w:t>
      </w:r>
      <w:r>
        <w:rPr>
          <w:rFonts w:hint="eastAsia" w:ascii="宋体" w:hAnsi="宋体" w:cs="宋体"/>
          <w:szCs w:val="21"/>
        </w:rPr>
        <w:fldChar w:fldCharType="begin"/>
      </w:r>
      <w:r>
        <w:rPr>
          <w:rFonts w:hint="eastAsia" w:ascii="宋体" w:hAnsi="宋体" w:cs="宋体"/>
          <w:szCs w:val="21"/>
        </w:rPr>
        <w:instrText xml:space="preserve"> AUTOTEXT  input524 \* MERGEFORMAT </w:instrText>
      </w:r>
      <w:r>
        <w:rPr>
          <w:rFonts w:hint="eastAsia" w:ascii="宋体" w:hAnsi="宋体" w:cs="宋体"/>
          <w:szCs w:val="21"/>
        </w:rPr>
        <w:fldChar w:fldCharType="end"/>
      </w:r>
    </w:p>
    <w:p w14:paraId="5E216A2B">
      <w:pPr>
        <w:tabs>
          <w:tab w:val="left" w:pos="3855"/>
        </w:tabs>
        <w:spacing w:line="360" w:lineRule="auto"/>
        <w:rPr>
          <w:rFonts w:ascii="宋体" w:hAnsi="宋体" w:cs="宋体"/>
          <w:szCs w:val="21"/>
        </w:rPr>
      </w:pPr>
      <w:r>
        <w:rPr>
          <w:rFonts w:hint="eastAsia" w:ascii="宋体" w:hAnsi="宋体" w:cs="宋体"/>
          <w:szCs w:val="21"/>
        </w:rPr>
        <w:t>逾期付款违约金的计算方法：</w:t>
      </w:r>
    </w:p>
    <w:p w14:paraId="42F2DD58">
      <w:pPr>
        <w:tabs>
          <w:tab w:val="left" w:pos="3855"/>
        </w:tabs>
        <w:spacing w:line="360" w:lineRule="auto"/>
        <w:rPr>
          <w:rFonts w:ascii="宋体" w:hAnsi="宋体" w:cs="宋体"/>
          <w:szCs w:val="21"/>
        </w:rPr>
      </w:pPr>
      <w:r>
        <w:rPr>
          <w:rFonts w:hint="eastAsia" w:ascii="宋体" w:hAnsi="宋体" w:cs="宋体"/>
          <w:szCs w:val="21"/>
          <w:u w:val="single"/>
        </w:rPr>
        <w:t>逾期付款违约金=应付款项总金额×按照最高人民法院规定的逾期付款罚息利率×逾期付款的天数。</w:t>
      </w:r>
      <w:r>
        <w:rPr>
          <w:rFonts w:hint="eastAsia" w:ascii="宋体" w:hAnsi="宋体" w:cs="宋体"/>
          <w:szCs w:val="21"/>
        </w:rPr>
        <w:fldChar w:fldCharType="begin"/>
      </w:r>
      <w:r>
        <w:rPr>
          <w:rFonts w:hint="eastAsia" w:ascii="宋体" w:hAnsi="宋体" w:cs="宋体"/>
          <w:szCs w:val="21"/>
        </w:rPr>
        <w:instrText xml:space="preserve"> AUTOTEXT  input525 \* MERGEFORMAT </w:instrText>
      </w:r>
      <w:r>
        <w:rPr>
          <w:rFonts w:hint="eastAsia" w:ascii="宋体" w:hAnsi="宋体" w:cs="宋体"/>
          <w:szCs w:val="21"/>
        </w:rPr>
        <w:fldChar w:fldCharType="end"/>
      </w:r>
    </w:p>
    <w:p w14:paraId="7A225E1E">
      <w:pPr>
        <w:tabs>
          <w:tab w:val="left" w:pos="312"/>
          <w:tab w:val="left" w:pos="3855"/>
        </w:tabs>
        <w:spacing w:line="360" w:lineRule="auto"/>
        <w:rPr>
          <w:rFonts w:ascii="宋体" w:hAnsi="宋体" w:cs="宋体"/>
          <w:szCs w:val="21"/>
        </w:rPr>
      </w:pPr>
      <w:r>
        <w:rPr>
          <w:rFonts w:hint="eastAsia" w:ascii="宋体" w:hAnsi="宋体" w:cs="宋体"/>
          <w:szCs w:val="21"/>
        </w:rPr>
        <w:t>（4）进度付款涉及政府性资金的支付方法：</w:t>
      </w:r>
      <w:r>
        <w:rPr>
          <w:rFonts w:hint="eastAsia" w:ascii="宋体" w:hAnsi="宋体" w:cs="宋体"/>
          <w:szCs w:val="21"/>
          <w:u w:val="single"/>
        </w:rPr>
        <w:t>合同签订后，且收到发票后7日内，支付签约合同价（扣除暂列金额）的</w:t>
      </w:r>
      <w:r>
        <w:rPr>
          <w:rFonts w:ascii="宋体" w:hAnsi="宋体" w:cs="宋体"/>
          <w:szCs w:val="21"/>
          <w:u w:val="single"/>
        </w:rPr>
        <w:t>20</w:t>
      </w:r>
      <w:r>
        <w:rPr>
          <w:rFonts w:hint="eastAsia" w:ascii="宋体" w:hAnsi="宋体" w:cs="宋体"/>
          <w:szCs w:val="21"/>
          <w:u w:val="single"/>
        </w:rPr>
        <w:t>%预付款，监理预验收合格后，且收到发票后7日内支付签约合同价的6</w:t>
      </w:r>
      <w:r>
        <w:rPr>
          <w:rFonts w:ascii="宋体" w:hAnsi="宋体" w:cs="宋体"/>
          <w:szCs w:val="21"/>
          <w:u w:val="single"/>
        </w:rPr>
        <w:t>0</w:t>
      </w:r>
      <w:r>
        <w:rPr>
          <w:rFonts w:hint="eastAsia" w:ascii="宋体" w:hAnsi="宋体" w:cs="宋体"/>
          <w:szCs w:val="21"/>
          <w:u w:val="single"/>
        </w:rPr>
        <w:t>%，总价支付至签约合同价的8</w:t>
      </w:r>
      <w:r>
        <w:rPr>
          <w:rFonts w:ascii="宋体" w:hAnsi="宋体" w:cs="宋体"/>
          <w:szCs w:val="21"/>
          <w:u w:val="single"/>
        </w:rPr>
        <w:t>0</w:t>
      </w:r>
      <w:r>
        <w:rPr>
          <w:rFonts w:hint="eastAsia" w:ascii="宋体" w:hAnsi="宋体" w:cs="宋体"/>
          <w:szCs w:val="21"/>
          <w:u w:val="single"/>
        </w:rPr>
        <w:t>%停止支付，工程竣工验收合格且经发包方审计部门审定后，支付至甲乙双方认可的审计合同总价的97%，其余3%作为质保金，等质保期期满后一个月内，承包方未出现任何过错的情况下，发包方支付审计合同总价的</w:t>
      </w:r>
      <w:r>
        <w:rPr>
          <w:rFonts w:ascii="宋体" w:hAnsi="宋体" w:cs="宋体"/>
          <w:szCs w:val="21"/>
          <w:u w:val="single"/>
        </w:rPr>
        <w:t>3</w:t>
      </w:r>
      <w:r>
        <w:rPr>
          <w:rFonts w:hint="eastAsia" w:ascii="宋体" w:hAnsi="宋体" w:cs="宋体"/>
          <w:szCs w:val="21"/>
          <w:u w:val="single"/>
        </w:rPr>
        <w:t>%质保金。</w:t>
      </w:r>
      <w:r>
        <w:rPr>
          <w:rFonts w:hint="eastAsia" w:ascii="宋体" w:hAnsi="宋体" w:cs="宋体"/>
          <w:szCs w:val="21"/>
        </w:rPr>
        <w:fldChar w:fldCharType="begin"/>
      </w:r>
      <w:r>
        <w:rPr>
          <w:rFonts w:hint="eastAsia" w:ascii="宋体" w:hAnsi="宋体" w:cs="宋体"/>
          <w:szCs w:val="21"/>
        </w:rPr>
        <w:instrText xml:space="preserve"> AUTOTEXT  input526 \* MERGEFORMAT </w:instrText>
      </w:r>
      <w:r>
        <w:rPr>
          <w:rFonts w:hint="eastAsia" w:ascii="宋体" w:hAnsi="宋体" w:cs="宋体"/>
          <w:szCs w:val="21"/>
        </w:rPr>
        <w:fldChar w:fldCharType="end"/>
      </w:r>
    </w:p>
    <w:p w14:paraId="1381AD59">
      <w:pPr>
        <w:tabs>
          <w:tab w:val="left" w:pos="3855"/>
        </w:tabs>
        <w:spacing w:line="360" w:lineRule="auto"/>
        <w:outlineLvl w:val="1"/>
        <w:rPr>
          <w:rFonts w:ascii="宋体" w:hAnsi="宋体" w:cs="宋体"/>
          <w:szCs w:val="21"/>
        </w:rPr>
      </w:pPr>
      <w:r>
        <w:rPr>
          <w:rFonts w:hint="eastAsia" w:ascii="宋体" w:hAnsi="宋体" w:cs="宋体"/>
          <w:szCs w:val="21"/>
        </w:rPr>
        <w:t>17.4质量保证金</w:t>
      </w:r>
    </w:p>
    <w:p w14:paraId="70E3D9F7">
      <w:pPr>
        <w:tabs>
          <w:tab w:val="left" w:pos="3855"/>
        </w:tabs>
        <w:spacing w:line="360" w:lineRule="auto"/>
        <w:outlineLvl w:val="2"/>
        <w:rPr>
          <w:rFonts w:ascii="宋体" w:hAnsi="宋体" w:cs="宋体"/>
          <w:szCs w:val="21"/>
        </w:rPr>
      </w:pPr>
      <w:r>
        <w:rPr>
          <w:rFonts w:hint="eastAsia" w:ascii="宋体" w:hAnsi="宋体" w:cs="宋体"/>
          <w:szCs w:val="21"/>
        </w:rPr>
        <w:t>17.4.1质量保证金处理</w:t>
      </w:r>
    </w:p>
    <w:p w14:paraId="702DC021">
      <w:pPr>
        <w:tabs>
          <w:tab w:val="left" w:pos="3855"/>
        </w:tabs>
        <w:spacing w:line="360" w:lineRule="auto"/>
        <w:rPr>
          <w:rFonts w:ascii="宋体" w:hAnsi="宋体" w:cs="宋体"/>
          <w:szCs w:val="21"/>
        </w:rPr>
      </w:pPr>
      <w:r>
        <w:rPr>
          <w:rFonts w:hint="eastAsia" w:ascii="宋体" w:hAnsi="宋体" w:cs="宋体"/>
          <w:szCs w:val="21"/>
        </w:rPr>
        <w:t>(3)质量保证金形式：</w:t>
      </w:r>
      <w:r>
        <w:rPr>
          <w:rFonts w:hint="eastAsia" w:ascii="宋体" w:hAnsi="宋体" w:cs="宋体"/>
          <w:szCs w:val="21"/>
          <w:u w:val="single"/>
        </w:rPr>
        <w:t>采用扣留质量保证金</w:t>
      </w:r>
      <w:r>
        <w:rPr>
          <w:rFonts w:hint="eastAsia" w:ascii="宋体" w:hAnsi="宋体" w:cs="宋体"/>
          <w:szCs w:val="21"/>
        </w:rPr>
        <w:fldChar w:fldCharType="begin"/>
      </w:r>
      <w:r>
        <w:rPr>
          <w:rFonts w:hint="eastAsia" w:ascii="宋体" w:hAnsi="宋体" w:cs="宋体"/>
          <w:szCs w:val="21"/>
        </w:rPr>
        <w:instrText xml:space="preserve"> AUTOTEXT  input859 \* MERGEFORMAT </w:instrText>
      </w:r>
      <w:r>
        <w:rPr>
          <w:rFonts w:hint="eastAsia" w:ascii="宋体" w:hAnsi="宋体" w:cs="宋体"/>
          <w:szCs w:val="21"/>
        </w:rPr>
        <w:fldChar w:fldCharType="end"/>
      </w:r>
      <w:r>
        <w:rPr>
          <w:rFonts w:hint="eastAsia" w:ascii="宋体" w:hAnsi="宋体" w:cs="宋体"/>
          <w:szCs w:val="21"/>
        </w:rPr>
        <w:t>（采用银行保函担保或其他保函担保形式╱采用扣留质量保证金）。</w:t>
      </w:r>
    </w:p>
    <w:p w14:paraId="2630A54E">
      <w:pPr>
        <w:tabs>
          <w:tab w:val="left" w:pos="3855"/>
        </w:tabs>
        <w:spacing w:line="360" w:lineRule="auto"/>
        <w:rPr>
          <w:rFonts w:ascii="宋体" w:hAnsi="宋体" w:cs="宋体"/>
          <w:szCs w:val="21"/>
        </w:rPr>
      </w:pPr>
      <w:r>
        <w:rPr>
          <w:rFonts w:hint="eastAsia" w:ascii="宋体" w:hAnsi="宋体" w:cs="宋体"/>
          <w:szCs w:val="21"/>
        </w:rPr>
        <w:t>质量保证金约定比例：</w:t>
      </w:r>
      <w:r>
        <w:rPr>
          <w:rFonts w:hint="eastAsia" w:ascii="宋体" w:hAnsi="宋体" w:cs="宋体"/>
          <w:szCs w:val="21"/>
          <w:u w:val="single"/>
        </w:rPr>
        <w:t xml:space="preserve"> 3 </w:t>
      </w:r>
      <w:r>
        <w:rPr>
          <w:rFonts w:hint="eastAsia" w:ascii="宋体" w:hAnsi="宋体" w:cs="宋体"/>
          <w:szCs w:val="21"/>
        </w:rPr>
        <w:fldChar w:fldCharType="begin"/>
      </w:r>
      <w:r>
        <w:rPr>
          <w:rFonts w:hint="eastAsia" w:ascii="宋体" w:hAnsi="宋体" w:cs="宋体"/>
          <w:szCs w:val="21"/>
        </w:rPr>
        <w:instrText xml:space="preserve"> AUTOTEXT  input860 \* MERGEFORMAT </w:instrText>
      </w:r>
      <w:r>
        <w:rPr>
          <w:rFonts w:hint="eastAsia" w:ascii="宋体" w:hAnsi="宋体" w:cs="宋体"/>
          <w:szCs w:val="21"/>
        </w:rPr>
        <w:fldChar w:fldCharType="end"/>
      </w:r>
      <w:r>
        <w:rPr>
          <w:rFonts w:hint="eastAsia" w:ascii="宋体" w:hAnsi="宋体" w:cs="宋体"/>
          <w:szCs w:val="21"/>
        </w:rPr>
        <w:t>%</w:t>
      </w:r>
    </w:p>
    <w:p w14:paraId="334269CB">
      <w:pPr>
        <w:tabs>
          <w:tab w:val="left" w:pos="3855"/>
        </w:tabs>
        <w:spacing w:line="360" w:lineRule="auto"/>
        <w:outlineLvl w:val="1"/>
        <w:rPr>
          <w:rFonts w:ascii="宋体" w:hAnsi="宋体" w:cs="宋体"/>
          <w:szCs w:val="21"/>
        </w:rPr>
      </w:pPr>
      <w:r>
        <w:rPr>
          <w:rFonts w:hint="eastAsia" w:ascii="宋体" w:hAnsi="宋体" w:cs="宋体"/>
          <w:szCs w:val="21"/>
        </w:rPr>
        <w:t>17.5竣工结算</w:t>
      </w:r>
    </w:p>
    <w:p w14:paraId="15E15D07">
      <w:pPr>
        <w:tabs>
          <w:tab w:val="left" w:pos="3855"/>
        </w:tabs>
        <w:spacing w:line="360" w:lineRule="auto"/>
        <w:outlineLvl w:val="2"/>
        <w:rPr>
          <w:rFonts w:ascii="宋体" w:hAnsi="宋体" w:cs="宋体"/>
          <w:szCs w:val="21"/>
        </w:rPr>
      </w:pPr>
      <w:r>
        <w:rPr>
          <w:rFonts w:hint="eastAsia" w:ascii="宋体" w:hAnsi="宋体" w:cs="宋体"/>
          <w:szCs w:val="21"/>
        </w:rPr>
        <w:t>17.5.1竣工付款申请单</w:t>
      </w:r>
    </w:p>
    <w:p w14:paraId="01BA8593">
      <w:pPr>
        <w:tabs>
          <w:tab w:val="left" w:pos="3855"/>
        </w:tabs>
        <w:spacing w:line="360" w:lineRule="auto"/>
        <w:rPr>
          <w:rFonts w:ascii="宋体" w:hAnsi="宋体" w:cs="宋体"/>
          <w:szCs w:val="21"/>
        </w:rPr>
      </w:pPr>
      <w:r>
        <w:rPr>
          <w:rFonts w:hint="eastAsia" w:ascii="宋体" w:hAnsi="宋体" w:cs="宋体"/>
          <w:szCs w:val="21"/>
        </w:rPr>
        <w:t>(1)承包人提交竣工付款申请单的份数：</w:t>
      </w:r>
      <w:r>
        <w:rPr>
          <w:rFonts w:hint="eastAsia" w:ascii="宋体" w:hAnsi="宋体" w:cs="宋体"/>
          <w:szCs w:val="21"/>
          <w:u w:val="single"/>
        </w:rPr>
        <w:t>提交5份竣工付款申请单</w:t>
      </w:r>
      <w:r>
        <w:rPr>
          <w:rFonts w:hint="eastAsia" w:ascii="宋体" w:hAnsi="宋体" w:cs="宋体"/>
          <w:szCs w:val="21"/>
        </w:rPr>
        <w:fldChar w:fldCharType="begin"/>
      </w:r>
      <w:r>
        <w:rPr>
          <w:rFonts w:hint="eastAsia" w:ascii="宋体" w:hAnsi="宋体" w:cs="宋体"/>
          <w:szCs w:val="21"/>
        </w:rPr>
        <w:instrText xml:space="preserve"> AUTOTEXT  input527 \* MERGEFORMAT </w:instrText>
      </w:r>
      <w:r>
        <w:rPr>
          <w:rFonts w:hint="eastAsia" w:ascii="宋体" w:hAnsi="宋体" w:cs="宋体"/>
          <w:szCs w:val="21"/>
        </w:rPr>
        <w:fldChar w:fldCharType="end"/>
      </w:r>
    </w:p>
    <w:p w14:paraId="6BA31C6F">
      <w:pPr>
        <w:tabs>
          <w:tab w:val="left" w:pos="3855"/>
        </w:tabs>
        <w:spacing w:line="360" w:lineRule="auto"/>
        <w:rPr>
          <w:rFonts w:ascii="宋体" w:hAnsi="宋体" w:cs="宋体"/>
          <w:szCs w:val="21"/>
        </w:rPr>
      </w:pPr>
      <w:r>
        <w:rPr>
          <w:rFonts w:hint="eastAsia" w:ascii="宋体" w:hAnsi="宋体" w:cs="宋体"/>
          <w:szCs w:val="21"/>
        </w:rPr>
        <w:t>承包人提交竣工付款申请单的期限：</w:t>
      </w:r>
      <w:r>
        <w:rPr>
          <w:rFonts w:hint="eastAsia" w:ascii="宋体" w:hAnsi="宋体" w:cs="宋体"/>
          <w:szCs w:val="21"/>
          <w:u w:val="single"/>
        </w:rPr>
        <w:t>在工程接收证书颁发后14天内</w:t>
      </w:r>
      <w:r>
        <w:rPr>
          <w:rFonts w:hint="eastAsia" w:ascii="宋体" w:hAnsi="宋体" w:cs="宋体"/>
          <w:szCs w:val="21"/>
        </w:rPr>
        <w:fldChar w:fldCharType="begin"/>
      </w:r>
      <w:r>
        <w:rPr>
          <w:rFonts w:hint="eastAsia" w:ascii="宋体" w:hAnsi="宋体" w:cs="宋体"/>
          <w:szCs w:val="21"/>
        </w:rPr>
        <w:instrText xml:space="preserve"> AUTOTEXT  input528 \* MERGEFORMAT </w:instrText>
      </w:r>
      <w:r>
        <w:rPr>
          <w:rFonts w:hint="eastAsia" w:ascii="宋体" w:hAnsi="宋体" w:cs="宋体"/>
          <w:szCs w:val="21"/>
        </w:rPr>
        <w:fldChar w:fldCharType="end"/>
      </w:r>
    </w:p>
    <w:p w14:paraId="6B86CBD4">
      <w:pPr>
        <w:tabs>
          <w:tab w:val="left" w:pos="3855"/>
        </w:tabs>
        <w:spacing w:line="360" w:lineRule="auto"/>
        <w:rPr>
          <w:rFonts w:ascii="宋体" w:hAnsi="宋体" w:cs="宋体"/>
          <w:szCs w:val="21"/>
        </w:rPr>
      </w:pPr>
      <w:r>
        <w:rPr>
          <w:rFonts w:hint="eastAsia" w:ascii="宋体" w:hAnsi="宋体" w:cs="宋体"/>
          <w:szCs w:val="21"/>
        </w:rPr>
        <w:t>(2)竣工付款申请单的其他内容：</w:t>
      </w:r>
      <w:r>
        <w:rPr>
          <w:rFonts w:hint="eastAsia" w:ascii="宋体" w:hAnsi="宋体" w:cs="宋体"/>
          <w:szCs w:val="21"/>
          <w:u w:val="single"/>
        </w:rPr>
        <w:t>竣工结算合同总价、已支付的工程价款、应扣回的预付款、应扣留的质量保证金、应支付的竣工付款金额等</w:t>
      </w:r>
      <w:r>
        <w:rPr>
          <w:rFonts w:hint="eastAsia" w:ascii="宋体" w:hAnsi="宋体" w:cs="宋体"/>
          <w:szCs w:val="21"/>
        </w:rPr>
        <w:fldChar w:fldCharType="begin"/>
      </w:r>
      <w:r>
        <w:rPr>
          <w:rFonts w:hint="eastAsia" w:ascii="宋体" w:hAnsi="宋体" w:cs="宋体"/>
          <w:szCs w:val="21"/>
        </w:rPr>
        <w:instrText xml:space="preserve"> AUTOTEXT  input529 \* MERGEFORMAT </w:instrText>
      </w:r>
      <w:r>
        <w:rPr>
          <w:rFonts w:hint="eastAsia" w:ascii="宋体" w:hAnsi="宋体" w:cs="宋体"/>
          <w:szCs w:val="21"/>
        </w:rPr>
        <w:fldChar w:fldCharType="end"/>
      </w:r>
    </w:p>
    <w:p w14:paraId="2D467E60">
      <w:pPr>
        <w:tabs>
          <w:tab w:val="left" w:pos="3855"/>
        </w:tabs>
        <w:spacing w:line="360" w:lineRule="auto"/>
        <w:outlineLvl w:val="1"/>
        <w:rPr>
          <w:rFonts w:ascii="宋体" w:hAnsi="宋体" w:cs="宋体"/>
          <w:szCs w:val="21"/>
        </w:rPr>
      </w:pPr>
      <w:r>
        <w:rPr>
          <w:rFonts w:hint="eastAsia" w:ascii="宋体" w:hAnsi="宋体" w:cs="宋体"/>
          <w:szCs w:val="21"/>
        </w:rPr>
        <w:t>17.6最终结清</w:t>
      </w:r>
    </w:p>
    <w:p w14:paraId="046AF42F">
      <w:pPr>
        <w:tabs>
          <w:tab w:val="left" w:pos="3855"/>
        </w:tabs>
        <w:spacing w:line="360" w:lineRule="auto"/>
        <w:outlineLvl w:val="2"/>
        <w:rPr>
          <w:rFonts w:ascii="宋体" w:hAnsi="宋体" w:cs="宋体"/>
          <w:szCs w:val="21"/>
        </w:rPr>
      </w:pPr>
      <w:r>
        <w:rPr>
          <w:rFonts w:hint="eastAsia" w:ascii="宋体" w:hAnsi="宋体" w:cs="宋体"/>
          <w:szCs w:val="21"/>
        </w:rPr>
        <w:t>17.6.1最终结清申请单</w:t>
      </w:r>
    </w:p>
    <w:p w14:paraId="1626513F">
      <w:pPr>
        <w:tabs>
          <w:tab w:val="left" w:pos="3855"/>
        </w:tabs>
        <w:spacing w:line="360" w:lineRule="auto"/>
        <w:rPr>
          <w:rFonts w:ascii="宋体" w:hAnsi="宋体" w:cs="宋体"/>
          <w:szCs w:val="21"/>
        </w:rPr>
      </w:pPr>
      <w:r>
        <w:rPr>
          <w:rFonts w:hint="eastAsia" w:ascii="宋体" w:hAnsi="宋体" w:cs="宋体"/>
          <w:szCs w:val="21"/>
        </w:rPr>
        <w:t>(1)承包人提交最终结清申请单的份数：</w:t>
      </w:r>
      <w:r>
        <w:rPr>
          <w:rFonts w:hint="eastAsia" w:ascii="宋体" w:hAnsi="宋体" w:cs="宋体"/>
          <w:szCs w:val="21"/>
          <w:u w:val="single"/>
        </w:rPr>
        <w:t>提交5份最终结清申请单</w:t>
      </w:r>
      <w:r>
        <w:rPr>
          <w:rFonts w:hint="eastAsia" w:ascii="宋体" w:hAnsi="宋体" w:cs="宋体"/>
          <w:szCs w:val="21"/>
        </w:rPr>
        <w:fldChar w:fldCharType="begin"/>
      </w:r>
      <w:r>
        <w:rPr>
          <w:rFonts w:hint="eastAsia" w:ascii="宋体" w:hAnsi="宋体" w:cs="宋体"/>
          <w:szCs w:val="21"/>
        </w:rPr>
        <w:instrText xml:space="preserve"> AUTOTEXT  input530 \* MERGEFORMAT </w:instrText>
      </w:r>
      <w:r>
        <w:rPr>
          <w:rFonts w:hint="eastAsia" w:ascii="宋体" w:hAnsi="宋体" w:cs="宋体"/>
          <w:szCs w:val="21"/>
        </w:rPr>
        <w:fldChar w:fldCharType="end"/>
      </w:r>
    </w:p>
    <w:p w14:paraId="57078AC5">
      <w:pPr>
        <w:tabs>
          <w:tab w:val="left" w:pos="3855"/>
        </w:tabs>
        <w:spacing w:line="360" w:lineRule="auto"/>
        <w:rPr>
          <w:rFonts w:ascii="宋体" w:hAnsi="宋体" w:cs="宋体"/>
          <w:szCs w:val="21"/>
        </w:rPr>
      </w:pPr>
      <w:r>
        <w:rPr>
          <w:rFonts w:hint="eastAsia" w:ascii="宋体" w:hAnsi="宋体" w:cs="宋体"/>
          <w:szCs w:val="21"/>
        </w:rPr>
        <w:t>承包人提交最终结清申请单的期限：</w:t>
      </w:r>
      <w:r>
        <w:rPr>
          <w:rFonts w:hint="eastAsia" w:ascii="宋体" w:hAnsi="宋体" w:cs="宋体"/>
          <w:szCs w:val="21"/>
          <w:u w:val="single"/>
        </w:rPr>
        <w:t>在缺陷责任期终止证书颁发后28天内</w:t>
      </w:r>
      <w:r>
        <w:rPr>
          <w:rFonts w:hint="eastAsia" w:ascii="宋体" w:hAnsi="宋体" w:cs="宋体"/>
          <w:szCs w:val="21"/>
        </w:rPr>
        <w:fldChar w:fldCharType="begin"/>
      </w:r>
      <w:r>
        <w:rPr>
          <w:rFonts w:hint="eastAsia" w:ascii="宋体" w:hAnsi="宋体" w:cs="宋体"/>
          <w:szCs w:val="21"/>
        </w:rPr>
        <w:instrText xml:space="preserve"> AUTOTEXT  input531 \* MERGEFORMAT </w:instrText>
      </w:r>
      <w:r>
        <w:rPr>
          <w:rFonts w:hint="eastAsia" w:ascii="宋体" w:hAnsi="宋体" w:cs="宋体"/>
          <w:szCs w:val="21"/>
        </w:rPr>
        <w:fldChar w:fldCharType="end"/>
      </w:r>
    </w:p>
    <w:p w14:paraId="576379D6">
      <w:pPr>
        <w:tabs>
          <w:tab w:val="left" w:pos="3855"/>
        </w:tabs>
        <w:spacing w:line="360" w:lineRule="auto"/>
        <w:rPr>
          <w:rFonts w:ascii="宋体" w:hAnsi="宋体" w:cs="宋体"/>
          <w:szCs w:val="21"/>
        </w:rPr>
      </w:pPr>
      <w:r>
        <w:rPr>
          <w:rFonts w:hint="eastAsia" w:ascii="宋体" w:hAnsi="宋体" w:cs="宋体"/>
          <w:szCs w:val="21"/>
        </w:rPr>
        <w:t>发包人向承包人</w:t>
      </w:r>
      <w:r>
        <w:rPr>
          <w:rFonts w:hint="eastAsia" w:ascii="宋体" w:hAnsi="宋体" w:cs="宋体"/>
          <w:szCs w:val="21"/>
          <w:u w:val="single"/>
        </w:rPr>
        <w:t>不支付</w:t>
      </w:r>
      <w:r>
        <w:rPr>
          <w:rFonts w:hint="eastAsia" w:ascii="宋体" w:hAnsi="宋体" w:cs="宋体"/>
          <w:szCs w:val="21"/>
        </w:rPr>
        <w:fldChar w:fldCharType="begin"/>
      </w:r>
      <w:r>
        <w:rPr>
          <w:rFonts w:hint="eastAsia" w:ascii="宋体" w:hAnsi="宋体" w:cs="宋体"/>
          <w:szCs w:val="21"/>
        </w:rPr>
        <w:instrText xml:space="preserve"> AUTOTEXT  input861 \* MERGEFORMAT </w:instrText>
      </w:r>
      <w:r>
        <w:rPr>
          <w:rFonts w:hint="eastAsia" w:ascii="宋体" w:hAnsi="宋体" w:cs="宋体"/>
          <w:szCs w:val="21"/>
        </w:rPr>
        <w:fldChar w:fldCharType="end"/>
      </w:r>
      <w:r>
        <w:rPr>
          <w:rFonts w:hint="eastAsia" w:ascii="宋体" w:hAnsi="宋体" w:cs="宋体"/>
          <w:szCs w:val="21"/>
        </w:rPr>
        <w:t>（支付/不支付）质量保证金利息。</w:t>
      </w:r>
    </w:p>
    <w:p w14:paraId="1E45F184">
      <w:pPr>
        <w:tabs>
          <w:tab w:val="left" w:pos="3855"/>
        </w:tabs>
        <w:spacing w:line="360" w:lineRule="auto"/>
        <w:rPr>
          <w:rFonts w:ascii="宋体" w:hAnsi="宋体" w:cs="宋体"/>
          <w:szCs w:val="21"/>
        </w:rPr>
      </w:pPr>
      <w:r>
        <w:rPr>
          <w:rFonts w:hint="eastAsia" w:ascii="宋体" w:hAnsi="宋体" w:cs="宋体"/>
          <w:szCs w:val="21"/>
        </w:rPr>
        <w:t>发包人向承包人支付质量保证金利息的，利息计算方法：</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input862 \* MERGEFORMAT </w:instrText>
      </w:r>
      <w:r>
        <w:rPr>
          <w:rFonts w:hint="eastAsia" w:ascii="宋体" w:hAnsi="宋体" w:cs="宋体"/>
          <w:szCs w:val="21"/>
        </w:rPr>
        <w:fldChar w:fldCharType="end"/>
      </w:r>
    </w:p>
    <w:p w14:paraId="7C4F2892">
      <w:pPr>
        <w:tabs>
          <w:tab w:val="left" w:pos="3855"/>
        </w:tabs>
        <w:spacing w:line="360" w:lineRule="auto"/>
        <w:outlineLvl w:val="0"/>
        <w:rPr>
          <w:rFonts w:ascii="宋体" w:hAnsi="宋体" w:cs="宋体"/>
          <w:szCs w:val="21"/>
        </w:rPr>
      </w:pPr>
      <w:r>
        <w:rPr>
          <w:rFonts w:hint="eastAsia" w:ascii="宋体" w:hAnsi="宋体" w:cs="宋体"/>
          <w:szCs w:val="21"/>
        </w:rPr>
        <w:t>18.竣工验收</w:t>
      </w:r>
    </w:p>
    <w:p w14:paraId="03D45E28">
      <w:pPr>
        <w:tabs>
          <w:tab w:val="left" w:pos="3855"/>
        </w:tabs>
        <w:spacing w:line="360" w:lineRule="auto"/>
        <w:outlineLvl w:val="1"/>
        <w:rPr>
          <w:rFonts w:ascii="宋体" w:hAnsi="宋体" w:cs="宋体"/>
          <w:szCs w:val="21"/>
        </w:rPr>
      </w:pPr>
      <w:r>
        <w:rPr>
          <w:rFonts w:hint="eastAsia" w:ascii="宋体" w:hAnsi="宋体" w:cs="宋体"/>
          <w:szCs w:val="21"/>
        </w:rPr>
        <w:t>18.2竣工验收申请报告</w:t>
      </w:r>
    </w:p>
    <w:p w14:paraId="052CD46A">
      <w:pPr>
        <w:tabs>
          <w:tab w:val="left" w:pos="3855"/>
        </w:tabs>
        <w:spacing w:line="360" w:lineRule="auto"/>
        <w:rPr>
          <w:rFonts w:ascii="宋体" w:hAnsi="宋体" w:cs="宋体"/>
          <w:szCs w:val="21"/>
        </w:rPr>
      </w:pPr>
      <w:r>
        <w:rPr>
          <w:rFonts w:hint="eastAsia" w:ascii="宋体" w:hAnsi="宋体" w:cs="宋体"/>
          <w:szCs w:val="21"/>
        </w:rPr>
        <w:t>(2)承包人负责整理和提交的竣工验收资料具体内容：</w:t>
      </w:r>
    </w:p>
    <w:p w14:paraId="23DD9C9C">
      <w:pPr>
        <w:tabs>
          <w:tab w:val="left" w:pos="3855"/>
        </w:tabs>
        <w:spacing w:line="360" w:lineRule="auto"/>
        <w:rPr>
          <w:rFonts w:ascii="宋体" w:hAnsi="宋体" w:cs="宋体"/>
          <w:szCs w:val="21"/>
        </w:rPr>
      </w:pPr>
      <w:r>
        <w:rPr>
          <w:rFonts w:hint="eastAsia" w:ascii="宋体" w:hAnsi="宋体" w:cs="宋体"/>
          <w:szCs w:val="21"/>
          <w:u w:val="single"/>
        </w:rPr>
        <w:t>①工程竣工验收备案表原件（一式两份）；</w:t>
      </w:r>
      <w:r>
        <w:rPr>
          <w:rFonts w:hint="eastAsia" w:ascii="宋体" w:hAnsi="宋体" w:cs="宋体"/>
          <w:szCs w:val="21"/>
          <w:u w:val="single"/>
        </w:rPr>
        <w:cr/>
      </w:r>
      <w:r>
        <w:rPr>
          <w:rFonts w:hint="eastAsia" w:ascii="宋体" w:hAnsi="宋体" w:cs="宋体"/>
          <w:szCs w:val="21"/>
          <w:u w:val="single"/>
        </w:rPr>
        <w:t>②工程竣工验收备案文件：</w:t>
      </w:r>
      <w:r>
        <w:rPr>
          <w:rFonts w:hint="eastAsia" w:ascii="宋体" w:hAnsi="宋体" w:cs="宋体"/>
          <w:szCs w:val="21"/>
          <w:u w:val="single"/>
        </w:rPr>
        <w:cr/>
      </w:r>
      <w:r>
        <w:rPr>
          <w:rFonts w:hint="eastAsia" w:ascii="宋体" w:hAnsi="宋体" w:cs="宋体"/>
          <w:szCs w:val="21"/>
        </w:rPr>
        <w:t>竣工验收资料的份数：</w:t>
      </w:r>
      <w:r>
        <w:rPr>
          <w:rFonts w:hint="eastAsia" w:ascii="宋体" w:hAnsi="宋体" w:cs="宋体"/>
          <w:szCs w:val="21"/>
          <w:u w:val="single"/>
        </w:rPr>
        <w:t>工程竣工验收备案表原件（一式两份）；工程竣工验收备案文件（一套）</w:t>
      </w:r>
      <w:r>
        <w:rPr>
          <w:rFonts w:hint="eastAsia" w:ascii="宋体" w:hAnsi="宋体" w:cs="宋体"/>
          <w:szCs w:val="21"/>
        </w:rPr>
        <w:fldChar w:fldCharType="begin"/>
      </w:r>
      <w:r>
        <w:rPr>
          <w:rFonts w:hint="eastAsia" w:ascii="宋体" w:hAnsi="宋体" w:cs="宋体"/>
          <w:szCs w:val="21"/>
        </w:rPr>
        <w:instrText xml:space="preserve"> AUTOTEXT  input533 \* MERGEFORMAT </w:instrText>
      </w:r>
      <w:r>
        <w:rPr>
          <w:rFonts w:hint="eastAsia" w:ascii="宋体" w:hAnsi="宋体" w:cs="宋体"/>
          <w:szCs w:val="21"/>
        </w:rPr>
        <w:fldChar w:fldCharType="end"/>
      </w:r>
    </w:p>
    <w:p w14:paraId="07CDC5B2">
      <w:pPr>
        <w:tabs>
          <w:tab w:val="left" w:pos="3855"/>
        </w:tabs>
        <w:spacing w:line="360" w:lineRule="auto"/>
        <w:rPr>
          <w:rFonts w:ascii="宋体" w:hAnsi="宋体" w:cs="宋体"/>
          <w:szCs w:val="21"/>
        </w:rPr>
      </w:pPr>
      <w:r>
        <w:rPr>
          <w:rFonts w:hint="eastAsia" w:ascii="宋体" w:hAnsi="宋体" w:cs="宋体"/>
          <w:szCs w:val="21"/>
        </w:rPr>
        <w:t>竣工验收资料的费用支付方式：</w:t>
      </w:r>
      <w:r>
        <w:rPr>
          <w:rFonts w:hint="eastAsia" w:ascii="宋体" w:hAnsi="宋体" w:cs="宋体"/>
          <w:szCs w:val="21"/>
          <w:u w:val="single"/>
        </w:rPr>
        <w:t>承包人支付</w:t>
      </w:r>
      <w:r>
        <w:rPr>
          <w:rFonts w:hint="eastAsia" w:ascii="宋体" w:hAnsi="宋体" w:cs="宋体"/>
          <w:szCs w:val="21"/>
        </w:rPr>
        <w:fldChar w:fldCharType="begin"/>
      </w:r>
      <w:r>
        <w:rPr>
          <w:rFonts w:hint="eastAsia" w:ascii="宋体" w:hAnsi="宋体" w:cs="宋体"/>
          <w:szCs w:val="21"/>
        </w:rPr>
        <w:instrText xml:space="preserve"> AUTOTEXT  input534 \* MERGEFORMAT </w:instrText>
      </w:r>
      <w:r>
        <w:rPr>
          <w:rFonts w:hint="eastAsia" w:ascii="宋体" w:hAnsi="宋体" w:cs="宋体"/>
          <w:szCs w:val="21"/>
        </w:rPr>
        <w:fldChar w:fldCharType="end"/>
      </w:r>
    </w:p>
    <w:p w14:paraId="7C25F9E7">
      <w:pPr>
        <w:tabs>
          <w:tab w:val="left" w:pos="3855"/>
        </w:tabs>
        <w:spacing w:line="360" w:lineRule="auto"/>
        <w:outlineLvl w:val="1"/>
        <w:rPr>
          <w:rFonts w:ascii="宋体" w:hAnsi="宋体" w:cs="宋体"/>
          <w:szCs w:val="21"/>
        </w:rPr>
      </w:pPr>
      <w:r>
        <w:rPr>
          <w:rFonts w:hint="eastAsia" w:ascii="宋体" w:hAnsi="宋体" w:cs="宋体"/>
          <w:szCs w:val="21"/>
        </w:rPr>
        <w:t>18.5施工期运行</w:t>
      </w:r>
    </w:p>
    <w:p w14:paraId="57F1149E">
      <w:pPr>
        <w:tabs>
          <w:tab w:val="left" w:pos="3855"/>
        </w:tabs>
        <w:spacing w:line="360" w:lineRule="auto"/>
        <w:outlineLvl w:val="2"/>
        <w:rPr>
          <w:rFonts w:ascii="宋体" w:hAnsi="宋体" w:cs="宋体"/>
          <w:szCs w:val="21"/>
        </w:rPr>
      </w:pPr>
      <w:r>
        <w:rPr>
          <w:rFonts w:hint="eastAsia" w:ascii="宋体" w:hAnsi="宋体" w:cs="宋体"/>
          <w:szCs w:val="21"/>
        </w:rPr>
        <w:t>18.5.1需要施工期运行的单位工程或设备安装工程：</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input535 \* MERGEFORMAT </w:instrText>
      </w:r>
      <w:r>
        <w:rPr>
          <w:rFonts w:hint="eastAsia" w:ascii="宋体" w:hAnsi="宋体" w:cs="宋体"/>
          <w:szCs w:val="21"/>
        </w:rPr>
        <w:fldChar w:fldCharType="end"/>
      </w:r>
    </w:p>
    <w:p w14:paraId="56B0DB6C">
      <w:pPr>
        <w:tabs>
          <w:tab w:val="left" w:pos="3855"/>
        </w:tabs>
        <w:spacing w:line="360" w:lineRule="auto"/>
        <w:outlineLvl w:val="1"/>
        <w:rPr>
          <w:rFonts w:ascii="宋体" w:hAnsi="宋体" w:cs="宋体"/>
          <w:szCs w:val="21"/>
        </w:rPr>
      </w:pPr>
      <w:r>
        <w:rPr>
          <w:rFonts w:hint="eastAsia" w:ascii="宋体" w:hAnsi="宋体" w:cs="宋体"/>
          <w:szCs w:val="21"/>
        </w:rPr>
        <w:t>18.8施工队伍的撤离</w:t>
      </w:r>
    </w:p>
    <w:p w14:paraId="59DE98E5">
      <w:pPr>
        <w:tabs>
          <w:tab w:val="left" w:pos="3855"/>
        </w:tabs>
        <w:spacing w:line="360" w:lineRule="auto"/>
        <w:outlineLvl w:val="2"/>
        <w:rPr>
          <w:rFonts w:ascii="宋体" w:hAnsi="宋体" w:cs="宋体"/>
          <w:szCs w:val="21"/>
        </w:rPr>
      </w:pPr>
      <w:r>
        <w:rPr>
          <w:rFonts w:hint="eastAsia" w:ascii="宋体" w:hAnsi="宋体" w:cs="宋体"/>
          <w:szCs w:val="21"/>
        </w:rPr>
        <w:t>18.8.3缺陷责任期满时，承包人在施工场地保留的人员和施工设备最终撤离的期限：</w:t>
      </w:r>
      <w:r>
        <w:rPr>
          <w:rFonts w:hint="eastAsia" w:ascii="宋体" w:hAnsi="宋体" w:cs="宋体"/>
          <w:szCs w:val="21"/>
          <w:u w:val="single"/>
        </w:rPr>
        <w:t>缺陷责任期满28天内。</w:t>
      </w:r>
      <w:r>
        <w:rPr>
          <w:rFonts w:hint="eastAsia" w:ascii="宋体" w:hAnsi="宋体" w:cs="宋体"/>
          <w:szCs w:val="21"/>
        </w:rPr>
        <w:fldChar w:fldCharType="begin"/>
      </w:r>
      <w:r>
        <w:rPr>
          <w:rFonts w:hint="eastAsia" w:ascii="宋体" w:hAnsi="宋体" w:cs="宋体"/>
          <w:szCs w:val="21"/>
        </w:rPr>
        <w:instrText xml:space="preserve"> AUTOTEXT  input536 \* MERGEFORMAT </w:instrText>
      </w:r>
      <w:r>
        <w:rPr>
          <w:rFonts w:hint="eastAsia" w:ascii="宋体" w:hAnsi="宋体" w:cs="宋体"/>
          <w:szCs w:val="21"/>
        </w:rPr>
        <w:fldChar w:fldCharType="end"/>
      </w:r>
    </w:p>
    <w:p w14:paraId="4B9C8127">
      <w:pPr>
        <w:tabs>
          <w:tab w:val="left" w:pos="3855"/>
        </w:tabs>
        <w:spacing w:line="360" w:lineRule="auto"/>
        <w:outlineLvl w:val="1"/>
        <w:rPr>
          <w:rFonts w:ascii="宋体" w:hAnsi="宋体" w:cs="宋体"/>
          <w:szCs w:val="21"/>
        </w:rPr>
      </w:pPr>
      <w:r>
        <w:rPr>
          <w:rFonts w:hint="eastAsia" w:ascii="宋体" w:hAnsi="宋体" w:cs="宋体"/>
          <w:szCs w:val="21"/>
        </w:rPr>
        <w:t>18.9中间验收</w:t>
      </w:r>
    </w:p>
    <w:p w14:paraId="4E138797">
      <w:pPr>
        <w:tabs>
          <w:tab w:val="left" w:pos="3855"/>
        </w:tabs>
        <w:spacing w:line="360" w:lineRule="auto"/>
        <w:outlineLvl w:val="2"/>
        <w:rPr>
          <w:rFonts w:ascii="宋体" w:hAnsi="宋体" w:cs="宋体"/>
          <w:szCs w:val="21"/>
        </w:rPr>
      </w:pPr>
      <w:r>
        <w:rPr>
          <w:rFonts w:hint="eastAsia" w:ascii="宋体" w:hAnsi="宋体" w:cs="宋体"/>
          <w:szCs w:val="21"/>
        </w:rPr>
        <w:t>18.9.1本工程需要进行中间验收的部位：</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input537 \* MERGEFORMAT </w:instrText>
      </w:r>
      <w:r>
        <w:rPr>
          <w:rFonts w:hint="eastAsia" w:ascii="宋体" w:hAnsi="宋体" w:cs="宋体"/>
          <w:szCs w:val="21"/>
        </w:rPr>
        <w:fldChar w:fldCharType="end"/>
      </w:r>
    </w:p>
    <w:p w14:paraId="5E457E33">
      <w:pPr>
        <w:tabs>
          <w:tab w:val="left" w:pos="3855"/>
        </w:tabs>
        <w:spacing w:line="360" w:lineRule="auto"/>
        <w:outlineLvl w:val="2"/>
        <w:rPr>
          <w:rFonts w:ascii="宋体" w:hAnsi="宋体" w:cs="宋体"/>
          <w:szCs w:val="21"/>
        </w:rPr>
      </w:pPr>
      <w:r>
        <w:rPr>
          <w:rFonts w:hint="eastAsia" w:ascii="宋体" w:hAnsi="宋体" w:cs="宋体"/>
          <w:szCs w:val="21"/>
        </w:rPr>
        <w:t>18.9.2验收不合格的，承包人在</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input538 \* MERGEFORMAT </w:instrText>
      </w:r>
      <w:r>
        <w:rPr>
          <w:rFonts w:hint="eastAsia" w:ascii="宋体" w:hAnsi="宋体" w:cs="宋体"/>
          <w:szCs w:val="21"/>
        </w:rPr>
        <w:fldChar w:fldCharType="end"/>
      </w:r>
      <w:r>
        <w:rPr>
          <w:rFonts w:hint="eastAsia" w:ascii="宋体" w:hAnsi="宋体" w:cs="宋体"/>
          <w:szCs w:val="21"/>
        </w:rPr>
        <w:t>期限内进行修改后重新验收。</w:t>
      </w:r>
    </w:p>
    <w:p w14:paraId="2B075C45">
      <w:pPr>
        <w:tabs>
          <w:tab w:val="left" w:pos="3855"/>
        </w:tabs>
        <w:spacing w:line="360" w:lineRule="auto"/>
        <w:outlineLvl w:val="0"/>
        <w:rPr>
          <w:rFonts w:ascii="宋体" w:hAnsi="宋体" w:cs="宋体"/>
          <w:szCs w:val="21"/>
        </w:rPr>
      </w:pPr>
      <w:r>
        <w:rPr>
          <w:rFonts w:hint="eastAsia" w:ascii="宋体" w:hAnsi="宋体" w:cs="宋体"/>
          <w:szCs w:val="21"/>
        </w:rPr>
        <w:t>19.缺陷责任与保修责任</w:t>
      </w:r>
    </w:p>
    <w:p w14:paraId="546B9290">
      <w:pPr>
        <w:tabs>
          <w:tab w:val="left" w:pos="3855"/>
        </w:tabs>
        <w:spacing w:line="360" w:lineRule="auto"/>
        <w:outlineLvl w:val="1"/>
        <w:rPr>
          <w:rFonts w:ascii="宋体" w:hAnsi="宋体" w:cs="宋体"/>
          <w:szCs w:val="21"/>
        </w:rPr>
      </w:pPr>
      <w:r>
        <w:rPr>
          <w:rFonts w:hint="eastAsia" w:ascii="宋体" w:hAnsi="宋体" w:cs="宋体"/>
          <w:szCs w:val="21"/>
        </w:rPr>
        <w:t>19.7保修责任</w:t>
      </w:r>
    </w:p>
    <w:p w14:paraId="3DE293CD">
      <w:pPr>
        <w:tabs>
          <w:tab w:val="left" w:pos="3855"/>
        </w:tabs>
        <w:spacing w:line="360" w:lineRule="auto"/>
        <w:outlineLvl w:val="2"/>
        <w:rPr>
          <w:rFonts w:ascii="宋体" w:hAnsi="宋体" w:cs="宋体"/>
          <w:szCs w:val="21"/>
        </w:rPr>
      </w:pPr>
      <w:r>
        <w:rPr>
          <w:rFonts w:hint="eastAsia" w:ascii="宋体" w:hAnsi="宋体" w:cs="宋体"/>
          <w:szCs w:val="21"/>
        </w:rPr>
        <w:t>19.7.1工程质量保修范围：</w:t>
      </w:r>
    </w:p>
    <w:p w14:paraId="384CF21F">
      <w:pPr>
        <w:tabs>
          <w:tab w:val="left" w:pos="3855"/>
        </w:tabs>
        <w:spacing w:line="360" w:lineRule="auto"/>
        <w:rPr>
          <w:rFonts w:ascii="宋体" w:hAnsi="宋体" w:cs="宋体"/>
          <w:szCs w:val="21"/>
          <w:u w:val="single"/>
        </w:rPr>
      </w:pPr>
      <w:r>
        <w:rPr>
          <w:rFonts w:hint="eastAsia" w:ascii="宋体" w:hAnsi="宋体" w:cs="宋体"/>
          <w:szCs w:val="21"/>
          <w:u w:val="single"/>
        </w:rPr>
        <w:t>1.1 按照有关法律、法规和甲乙双方约定，乙方承担施工合同约定承包范围内工程的质量保修责任。</w:t>
      </w:r>
    </w:p>
    <w:p w14:paraId="7AF15025">
      <w:pPr>
        <w:tabs>
          <w:tab w:val="left" w:pos="3855"/>
        </w:tabs>
        <w:spacing w:line="360" w:lineRule="auto"/>
        <w:rPr>
          <w:rFonts w:ascii="宋体" w:hAnsi="宋体" w:cs="宋体"/>
          <w:szCs w:val="21"/>
        </w:rPr>
      </w:pPr>
      <w:r>
        <w:rPr>
          <w:rFonts w:hint="eastAsia" w:ascii="宋体" w:hAnsi="宋体" w:cs="宋体"/>
          <w:szCs w:val="21"/>
          <w:u w:val="single"/>
        </w:rPr>
        <w:t>1.2 乙方施工范围内，但非乙方责任的，乙方也须按甲方要求予以修复，维修费用参照施工合同单价计算。</w:t>
      </w:r>
      <w:r>
        <w:rPr>
          <w:rFonts w:hint="eastAsia" w:ascii="宋体" w:hAnsi="宋体" w:cs="宋体"/>
          <w:szCs w:val="21"/>
        </w:rPr>
        <w:fldChar w:fldCharType="begin"/>
      </w:r>
      <w:r>
        <w:rPr>
          <w:rFonts w:hint="eastAsia" w:ascii="宋体" w:hAnsi="宋体" w:cs="宋体"/>
          <w:szCs w:val="21"/>
        </w:rPr>
        <w:instrText xml:space="preserve"> AUTOTEXT  input539 \* MERGEFORMAT </w:instrText>
      </w:r>
      <w:r>
        <w:rPr>
          <w:rFonts w:hint="eastAsia" w:ascii="宋体" w:hAnsi="宋体" w:cs="宋体"/>
          <w:szCs w:val="21"/>
        </w:rPr>
        <w:fldChar w:fldCharType="end"/>
      </w:r>
    </w:p>
    <w:p w14:paraId="169CA72F">
      <w:pPr>
        <w:tabs>
          <w:tab w:val="left" w:pos="3855"/>
        </w:tabs>
        <w:spacing w:line="360" w:lineRule="auto"/>
        <w:rPr>
          <w:rFonts w:ascii="宋体" w:hAnsi="宋体" w:cs="宋体"/>
          <w:szCs w:val="21"/>
        </w:rPr>
      </w:pPr>
      <w:r>
        <w:rPr>
          <w:rFonts w:hint="eastAsia" w:ascii="宋体" w:hAnsi="宋体" w:cs="宋体"/>
          <w:szCs w:val="21"/>
        </w:rPr>
        <w:t>工程质量保修期限：</w:t>
      </w:r>
      <w:r>
        <w:rPr>
          <w:rFonts w:hint="eastAsia" w:ascii="宋体" w:hAnsi="宋体" w:cs="宋体"/>
          <w:szCs w:val="21"/>
          <w:u w:val="single"/>
        </w:rPr>
        <w:t>不低于国家及当地现行有关标准、规程的规定，详见房屋建筑工程质量保修书。</w:t>
      </w:r>
      <w:r>
        <w:rPr>
          <w:rFonts w:hint="eastAsia" w:ascii="宋体" w:hAnsi="宋体" w:cs="宋体"/>
          <w:szCs w:val="21"/>
        </w:rPr>
        <w:fldChar w:fldCharType="begin"/>
      </w:r>
      <w:r>
        <w:rPr>
          <w:rFonts w:hint="eastAsia" w:ascii="宋体" w:hAnsi="宋体" w:cs="宋体"/>
          <w:szCs w:val="21"/>
        </w:rPr>
        <w:instrText xml:space="preserve"> AUTOTEXT  input540 \* MERGEFORMAT </w:instrText>
      </w:r>
      <w:r>
        <w:rPr>
          <w:rFonts w:hint="eastAsia" w:ascii="宋体" w:hAnsi="宋体" w:cs="宋体"/>
          <w:szCs w:val="21"/>
        </w:rPr>
        <w:fldChar w:fldCharType="end"/>
      </w:r>
    </w:p>
    <w:p w14:paraId="12C686C6">
      <w:pPr>
        <w:tabs>
          <w:tab w:val="left" w:pos="3855"/>
        </w:tabs>
        <w:spacing w:line="360" w:lineRule="auto"/>
        <w:rPr>
          <w:rFonts w:ascii="宋体" w:hAnsi="宋体" w:cs="宋体"/>
          <w:szCs w:val="21"/>
        </w:rPr>
      </w:pPr>
      <w:r>
        <w:rPr>
          <w:rFonts w:hint="eastAsia" w:ascii="宋体" w:hAnsi="宋体" w:cs="宋体"/>
          <w:szCs w:val="21"/>
        </w:rPr>
        <w:t>工程质量保修责任：</w:t>
      </w:r>
      <w:r>
        <w:rPr>
          <w:rFonts w:hint="eastAsia" w:ascii="宋体" w:hAnsi="宋体" w:cs="宋体"/>
          <w:szCs w:val="21"/>
          <w:u w:val="single"/>
        </w:rPr>
        <w:t>①属于保修范围、内容的项目，承包人应当在接到保修通知之日起7天内派人保修。承包人不在约定期限内派人保修的，发包人可以委托他人修理。</w:t>
      </w:r>
      <w:r>
        <w:rPr>
          <w:rFonts w:hint="eastAsia" w:ascii="宋体" w:hAnsi="宋体" w:cs="宋体"/>
          <w:szCs w:val="21"/>
          <w:u w:val="single"/>
        </w:rPr>
        <w:cr/>
      </w:r>
      <w:r>
        <w:rPr>
          <w:rFonts w:hint="eastAsia" w:ascii="宋体" w:hAnsi="宋体" w:cs="宋体"/>
          <w:szCs w:val="21"/>
          <w:u w:val="single"/>
        </w:rPr>
        <w:t>②发生紧急抢修事故的，承包人在接到事故通知后，应当立即到达事故现场抢修。</w:t>
      </w:r>
      <w:r>
        <w:rPr>
          <w:rFonts w:hint="eastAsia" w:ascii="宋体" w:hAnsi="宋体" w:cs="宋体"/>
          <w:szCs w:val="21"/>
          <w:u w:val="single"/>
        </w:rPr>
        <w:cr/>
      </w:r>
      <w:r>
        <w:rPr>
          <w:rFonts w:hint="eastAsia" w:ascii="宋体" w:hAnsi="宋体" w:cs="宋体"/>
          <w:szCs w:val="21"/>
          <w:u w:val="single"/>
        </w:rPr>
        <w:t>③对于涉及结构安全的质量问题，应当按照《房屋建筑工程质量保修办法》的规定，立即向当地建设行政主管部门报告，采取安全防范措施；由原设计单位或者具有相应资质等级的设计单位提出保修方案，承包人实保修。</w:t>
      </w:r>
      <w:r>
        <w:rPr>
          <w:rFonts w:hint="eastAsia" w:ascii="宋体" w:hAnsi="宋体" w:cs="宋体"/>
          <w:szCs w:val="21"/>
          <w:u w:val="single"/>
        </w:rPr>
        <w:cr/>
      </w:r>
      <w:r>
        <w:rPr>
          <w:rFonts w:hint="eastAsia" w:ascii="宋体" w:hAnsi="宋体" w:cs="宋体"/>
          <w:szCs w:val="21"/>
          <w:u w:val="single"/>
        </w:rPr>
        <w:t>④质量保修完成后，由发包人组织验收。</w:t>
      </w:r>
      <w:r>
        <w:rPr>
          <w:rFonts w:hint="eastAsia" w:ascii="宋体" w:hAnsi="宋体" w:cs="宋体"/>
          <w:szCs w:val="21"/>
        </w:rPr>
        <w:fldChar w:fldCharType="begin"/>
      </w:r>
      <w:r>
        <w:rPr>
          <w:rFonts w:hint="eastAsia" w:ascii="宋体" w:hAnsi="宋体" w:cs="宋体"/>
          <w:szCs w:val="21"/>
        </w:rPr>
        <w:instrText xml:space="preserve"> AUTOTEXT  input541 \* MERGEFORMAT </w:instrText>
      </w:r>
      <w:r>
        <w:rPr>
          <w:rFonts w:hint="eastAsia" w:ascii="宋体" w:hAnsi="宋体" w:cs="宋体"/>
          <w:szCs w:val="21"/>
        </w:rPr>
        <w:fldChar w:fldCharType="end"/>
      </w:r>
    </w:p>
    <w:p w14:paraId="652D2575">
      <w:pPr>
        <w:tabs>
          <w:tab w:val="left" w:pos="3855"/>
        </w:tabs>
        <w:spacing w:line="360" w:lineRule="auto"/>
        <w:outlineLvl w:val="0"/>
        <w:rPr>
          <w:rFonts w:ascii="宋体" w:hAnsi="宋体" w:cs="宋体"/>
          <w:szCs w:val="21"/>
        </w:rPr>
      </w:pPr>
      <w:r>
        <w:rPr>
          <w:rFonts w:hint="eastAsia" w:ascii="宋体" w:hAnsi="宋体" w:cs="宋体"/>
          <w:szCs w:val="21"/>
        </w:rPr>
        <w:t>20.保险</w:t>
      </w:r>
    </w:p>
    <w:p w14:paraId="1002D6F1">
      <w:pPr>
        <w:tabs>
          <w:tab w:val="left" w:pos="3855"/>
        </w:tabs>
        <w:spacing w:line="360" w:lineRule="auto"/>
        <w:outlineLvl w:val="1"/>
        <w:rPr>
          <w:rFonts w:ascii="宋体" w:hAnsi="宋体" w:cs="宋体"/>
          <w:szCs w:val="21"/>
        </w:rPr>
      </w:pPr>
      <w:r>
        <w:rPr>
          <w:rFonts w:hint="eastAsia" w:ascii="宋体" w:hAnsi="宋体" w:cs="宋体"/>
          <w:szCs w:val="21"/>
        </w:rPr>
        <w:t>20.1工程保险</w:t>
      </w:r>
    </w:p>
    <w:p w14:paraId="57FCA26F">
      <w:pPr>
        <w:tabs>
          <w:tab w:val="left" w:pos="3855"/>
        </w:tabs>
        <w:spacing w:line="360" w:lineRule="auto"/>
        <w:rPr>
          <w:rFonts w:ascii="宋体" w:hAnsi="宋体" w:cs="宋体"/>
          <w:szCs w:val="21"/>
        </w:rPr>
      </w:pPr>
      <w:r>
        <w:rPr>
          <w:rFonts w:hint="eastAsia" w:ascii="宋体" w:hAnsi="宋体" w:cs="宋体"/>
          <w:szCs w:val="21"/>
        </w:rPr>
        <w:t>本工程</w:t>
      </w:r>
      <w:r>
        <w:rPr>
          <w:rFonts w:hint="eastAsia" w:ascii="宋体" w:hAnsi="宋体" w:cs="宋体"/>
          <w:szCs w:val="21"/>
          <w:u w:val="single"/>
        </w:rPr>
        <w:t>不投保</w:t>
      </w:r>
      <w:r>
        <w:rPr>
          <w:rFonts w:hint="eastAsia" w:ascii="宋体" w:hAnsi="宋体" w:cs="宋体"/>
          <w:szCs w:val="21"/>
        </w:rPr>
        <w:fldChar w:fldCharType="begin"/>
      </w:r>
      <w:r>
        <w:rPr>
          <w:rFonts w:hint="eastAsia" w:ascii="宋体" w:hAnsi="宋体" w:cs="宋体"/>
          <w:szCs w:val="21"/>
        </w:rPr>
        <w:instrText xml:space="preserve"> AUTOTEXT  input542 \* MERGEFORMAT </w:instrText>
      </w:r>
      <w:r>
        <w:rPr>
          <w:rFonts w:hint="eastAsia" w:ascii="宋体" w:hAnsi="宋体" w:cs="宋体"/>
          <w:szCs w:val="21"/>
        </w:rPr>
        <w:fldChar w:fldCharType="end"/>
      </w:r>
      <w:r>
        <w:rPr>
          <w:rFonts w:hint="eastAsia" w:ascii="宋体" w:hAnsi="宋体" w:cs="宋体"/>
          <w:szCs w:val="21"/>
        </w:rPr>
        <w:t>(投保/不投保)工程保险。投保工程保险时，险种为：</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input543 \* MERGEFORMAT </w:instrText>
      </w:r>
      <w:r>
        <w:rPr>
          <w:rFonts w:hint="eastAsia" w:ascii="宋体" w:hAnsi="宋体" w:cs="宋体"/>
          <w:szCs w:val="21"/>
        </w:rPr>
        <w:fldChar w:fldCharType="end"/>
      </w:r>
      <w:r>
        <w:rPr>
          <w:rFonts w:hint="eastAsia" w:ascii="宋体" w:hAnsi="宋体" w:cs="宋体"/>
          <w:szCs w:val="21"/>
        </w:rPr>
        <w:t>，并符合以下约定：</w:t>
      </w:r>
    </w:p>
    <w:p w14:paraId="11F04FB9">
      <w:pPr>
        <w:tabs>
          <w:tab w:val="left" w:pos="3855"/>
        </w:tabs>
        <w:spacing w:line="360" w:lineRule="auto"/>
        <w:rPr>
          <w:rFonts w:ascii="宋体" w:hAnsi="宋体" w:cs="宋体"/>
          <w:szCs w:val="21"/>
        </w:rPr>
      </w:pPr>
      <w:r>
        <w:rPr>
          <w:rFonts w:hint="eastAsia" w:ascii="宋体" w:hAnsi="宋体" w:cs="宋体"/>
          <w:szCs w:val="21"/>
        </w:rPr>
        <w:t>(1)投保人：</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input544 \* MERGEFORMAT </w:instrText>
      </w:r>
      <w:r>
        <w:rPr>
          <w:rFonts w:hint="eastAsia" w:ascii="宋体" w:hAnsi="宋体" w:cs="宋体"/>
          <w:szCs w:val="21"/>
        </w:rPr>
        <w:fldChar w:fldCharType="end"/>
      </w:r>
    </w:p>
    <w:p w14:paraId="4B2F260D">
      <w:pPr>
        <w:tabs>
          <w:tab w:val="left" w:pos="3855"/>
        </w:tabs>
        <w:spacing w:line="360" w:lineRule="auto"/>
        <w:rPr>
          <w:rFonts w:ascii="宋体" w:hAnsi="宋体" w:cs="宋体"/>
          <w:szCs w:val="21"/>
        </w:rPr>
      </w:pPr>
      <w:r>
        <w:rPr>
          <w:rFonts w:hint="eastAsia" w:ascii="宋体" w:hAnsi="宋体" w:cs="宋体"/>
          <w:szCs w:val="21"/>
        </w:rPr>
        <w:t>(2)投保内容：</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input545 \* MERGEFORMAT </w:instrText>
      </w:r>
      <w:r>
        <w:rPr>
          <w:rFonts w:hint="eastAsia" w:ascii="宋体" w:hAnsi="宋体" w:cs="宋体"/>
          <w:szCs w:val="21"/>
        </w:rPr>
        <w:fldChar w:fldCharType="end"/>
      </w:r>
    </w:p>
    <w:p w14:paraId="6AD3A340">
      <w:pPr>
        <w:tabs>
          <w:tab w:val="left" w:pos="3855"/>
        </w:tabs>
        <w:spacing w:line="360" w:lineRule="auto"/>
        <w:rPr>
          <w:rFonts w:ascii="宋体" w:hAnsi="宋体" w:cs="宋体"/>
          <w:szCs w:val="21"/>
        </w:rPr>
      </w:pPr>
      <w:r>
        <w:rPr>
          <w:rFonts w:hint="eastAsia" w:ascii="宋体" w:hAnsi="宋体" w:cs="宋体"/>
          <w:szCs w:val="21"/>
        </w:rPr>
        <w:t>(3)保险费率：由投保人与合同双方同意的保险人商定。</w:t>
      </w:r>
    </w:p>
    <w:p w14:paraId="542AC8FB">
      <w:pPr>
        <w:tabs>
          <w:tab w:val="left" w:pos="3855"/>
        </w:tabs>
        <w:spacing w:line="360" w:lineRule="auto"/>
        <w:rPr>
          <w:rFonts w:ascii="宋体" w:hAnsi="宋体" w:cs="宋体"/>
          <w:szCs w:val="21"/>
        </w:rPr>
      </w:pPr>
      <w:r>
        <w:rPr>
          <w:rFonts w:hint="eastAsia" w:ascii="宋体" w:hAnsi="宋体" w:cs="宋体"/>
          <w:szCs w:val="21"/>
        </w:rPr>
        <w:t>(4)保险金额：</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input546 \* MERGEFORMAT </w:instrText>
      </w:r>
      <w:r>
        <w:rPr>
          <w:rFonts w:hint="eastAsia" w:ascii="宋体" w:hAnsi="宋体" w:cs="宋体"/>
          <w:szCs w:val="21"/>
        </w:rPr>
        <w:fldChar w:fldCharType="end"/>
      </w:r>
    </w:p>
    <w:p w14:paraId="086D3368">
      <w:pPr>
        <w:tabs>
          <w:tab w:val="left" w:pos="3855"/>
        </w:tabs>
        <w:spacing w:line="360" w:lineRule="auto"/>
        <w:rPr>
          <w:rFonts w:ascii="宋体" w:hAnsi="宋体" w:cs="宋体"/>
          <w:szCs w:val="21"/>
        </w:rPr>
      </w:pPr>
      <w:r>
        <w:rPr>
          <w:rFonts w:hint="eastAsia" w:ascii="宋体" w:hAnsi="宋体" w:cs="宋体"/>
          <w:szCs w:val="21"/>
        </w:rPr>
        <w:t>(5)保险期限：</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input547 \* MERGEFORMAT </w:instrText>
      </w:r>
      <w:r>
        <w:rPr>
          <w:rFonts w:hint="eastAsia" w:ascii="宋体" w:hAnsi="宋体" w:cs="宋体"/>
          <w:szCs w:val="21"/>
        </w:rPr>
        <w:fldChar w:fldCharType="end"/>
      </w:r>
    </w:p>
    <w:p w14:paraId="6059D7AC">
      <w:pPr>
        <w:tabs>
          <w:tab w:val="left" w:pos="3855"/>
        </w:tabs>
        <w:spacing w:line="360" w:lineRule="auto"/>
        <w:outlineLvl w:val="1"/>
        <w:rPr>
          <w:rFonts w:ascii="宋体" w:hAnsi="宋体" w:cs="宋体"/>
          <w:szCs w:val="21"/>
        </w:rPr>
      </w:pPr>
      <w:r>
        <w:rPr>
          <w:rFonts w:hint="eastAsia" w:ascii="宋体" w:hAnsi="宋体" w:cs="宋体"/>
          <w:szCs w:val="21"/>
        </w:rPr>
        <w:t>20.4第三者责任险</w:t>
      </w:r>
    </w:p>
    <w:p w14:paraId="71B3D8D8">
      <w:pPr>
        <w:tabs>
          <w:tab w:val="left" w:pos="3855"/>
        </w:tabs>
        <w:spacing w:line="360" w:lineRule="auto"/>
        <w:outlineLvl w:val="2"/>
        <w:rPr>
          <w:rFonts w:ascii="宋体" w:hAnsi="宋体" w:cs="宋体"/>
          <w:szCs w:val="21"/>
        </w:rPr>
      </w:pPr>
      <w:r>
        <w:rPr>
          <w:rFonts w:hint="eastAsia" w:ascii="宋体" w:hAnsi="宋体" w:cs="宋体"/>
          <w:szCs w:val="21"/>
        </w:rPr>
        <w:t>20.4.2保险金额：</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input548 \* MERGEFORMAT </w:instrText>
      </w:r>
      <w:r>
        <w:rPr>
          <w:rFonts w:hint="eastAsia" w:ascii="宋体" w:hAnsi="宋体" w:cs="宋体"/>
          <w:szCs w:val="21"/>
        </w:rPr>
        <w:fldChar w:fldCharType="end"/>
      </w:r>
      <w:r>
        <w:rPr>
          <w:rFonts w:hint="eastAsia" w:ascii="宋体" w:hAnsi="宋体" w:cs="宋体"/>
          <w:szCs w:val="21"/>
        </w:rPr>
        <w:t>，保险费率由承包人与发包人同意的保险人商定，相关保险费由</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input549 \* MERGEFORMAT </w:instrText>
      </w:r>
      <w:r>
        <w:rPr>
          <w:rFonts w:hint="eastAsia" w:ascii="宋体" w:hAnsi="宋体" w:cs="宋体"/>
          <w:szCs w:val="21"/>
        </w:rPr>
        <w:fldChar w:fldCharType="end"/>
      </w:r>
      <w:r>
        <w:rPr>
          <w:rFonts w:hint="eastAsia" w:ascii="宋体" w:hAnsi="宋体" w:cs="宋体"/>
          <w:szCs w:val="21"/>
        </w:rPr>
        <w:t>承担。</w:t>
      </w:r>
    </w:p>
    <w:p w14:paraId="1B92BDDF">
      <w:pPr>
        <w:tabs>
          <w:tab w:val="left" w:pos="3855"/>
        </w:tabs>
        <w:spacing w:line="360" w:lineRule="auto"/>
        <w:outlineLvl w:val="1"/>
        <w:rPr>
          <w:rFonts w:ascii="宋体" w:hAnsi="宋体" w:cs="宋体"/>
          <w:szCs w:val="21"/>
        </w:rPr>
      </w:pPr>
      <w:r>
        <w:rPr>
          <w:rFonts w:hint="eastAsia" w:ascii="宋体" w:hAnsi="宋体" w:cs="宋体"/>
          <w:szCs w:val="21"/>
        </w:rPr>
        <w:t>20.5其他保险</w:t>
      </w:r>
    </w:p>
    <w:p w14:paraId="678AE0F6">
      <w:pPr>
        <w:tabs>
          <w:tab w:val="left" w:pos="3855"/>
        </w:tabs>
        <w:spacing w:line="360" w:lineRule="auto"/>
        <w:rPr>
          <w:rFonts w:ascii="宋体" w:hAnsi="宋体" w:cs="宋体"/>
          <w:szCs w:val="21"/>
        </w:rPr>
      </w:pPr>
      <w:r>
        <w:rPr>
          <w:rFonts w:hint="eastAsia" w:ascii="宋体" w:hAnsi="宋体" w:cs="宋体"/>
          <w:szCs w:val="21"/>
        </w:rPr>
        <w:t>承包人应为其施工设备、进场材料和工程设备等办理的保险：</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input550 \* MERGEFORMAT </w:instrText>
      </w:r>
      <w:r>
        <w:rPr>
          <w:rFonts w:hint="eastAsia" w:ascii="宋体" w:hAnsi="宋体" w:cs="宋体"/>
          <w:szCs w:val="21"/>
        </w:rPr>
        <w:fldChar w:fldCharType="end"/>
      </w:r>
    </w:p>
    <w:p w14:paraId="55E52C1C">
      <w:pPr>
        <w:tabs>
          <w:tab w:val="left" w:pos="3855"/>
        </w:tabs>
        <w:spacing w:line="360" w:lineRule="auto"/>
        <w:outlineLvl w:val="1"/>
        <w:rPr>
          <w:rFonts w:ascii="宋体" w:hAnsi="宋体" w:cs="宋体"/>
          <w:szCs w:val="21"/>
        </w:rPr>
      </w:pPr>
      <w:r>
        <w:rPr>
          <w:rFonts w:hint="eastAsia" w:ascii="宋体" w:hAnsi="宋体" w:cs="宋体"/>
          <w:szCs w:val="21"/>
        </w:rPr>
        <w:t>20.6对各项保险的一般要求</w:t>
      </w:r>
    </w:p>
    <w:p w14:paraId="53DA19D8">
      <w:pPr>
        <w:tabs>
          <w:tab w:val="left" w:pos="3855"/>
        </w:tabs>
        <w:spacing w:line="360" w:lineRule="auto"/>
        <w:outlineLvl w:val="2"/>
        <w:rPr>
          <w:rFonts w:ascii="宋体" w:hAnsi="宋体" w:cs="宋体"/>
          <w:szCs w:val="21"/>
        </w:rPr>
      </w:pPr>
      <w:r>
        <w:rPr>
          <w:rFonts w:hint="eastAsia" w:ascii="宋体" w:hAnsi="宋体" w:cs="宋体"/>
          <w:szCs w:val="21"/>
        </w:rPr>
        <w:t>20.6.1保险凭证</w:t>
      </w:r>
    </w:p>
    <w:p w14:paraId="711E4DFB">
      <w:pPr>
        <w:tabs>
          <w:tab w:val="left" w:pos="3855"/>
        </w:tabs>
        <w:spacing w:line="360" w:lineRule="auto"/>
        <w:rPr>
          <w:rFonts w:ascii="宋体" w:hAnsi="宋体" w:cs="宋体"/>
          <w:szCs w:val="21"/>
        </w:rPr>
      </w:pPr>
      <w:r>
        <w:rPr>
          <w:rFonts w:hint="eastAsia" w:ascii="宋体" w:hAnsi="宋体" w:cs="宋体"/>
          <w:szCs w:val="21"/>
        </w:rPr>
        <w:t>承包人向发包人提交各项保险生效的证据和保险单副本的期限：</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input551 \* MERGEFORMAT </w:instrText>
      </w:r>
      <w:r>
        <w:rPr>
          <w:rFonts w:hint="eastAsia" w:ascii="宋体" w:hAnsi="宋体" w:cs="宋体"/>
          <w:szCs w:val="21"/>
        </w:rPr>
        <w:fldChar w:fldCharType="end"/>
      </w:r>
    </w:p>
    <w:p w14:paraId="32A28035">
      <w:pPr>
        <w:tabs>
          <w:tab w:val="left" w:pos="3855"/>
        </w:tabs>
        <w:spacing w:line="360" w:lineRule="auto"/>
        <w:outlineLvl w:val="2"/>
        <w:rPr>
          <w:rFonts w:ascii="宋体" w:hAnsi="宋体" w:cs="宋体"/>
          <w:szCs w:val="21"/>
        </w:rPr>
      </w:pPr>
      <w:r>
        <w:rPr>
          <w:rFonts w:hint="eastAsia" w:ascii="宋体" w:hAnsi="宋体" w:cs="宋体"/>
          <w:szCs w:val="21"/>
        </w:rPr>
        <w:t>20.6.4保险金不足的补偿</w:t>
      </w:r>
    </w:p>
    <w:p w14:paraId="1F1D4BFF">
      <w:pPr>
        <w:tabs>
          <w:tab w:val="left" w:pos="3855"/>
        </w:tabs>
        <w:spacing w:line="360" w:lineRule="auto"/>
        <w:rPr>
          <w:rFonts w:ascii="宋体" w:hAnsi="宋体" w:cs="宋体"/>
          <w:szCs w:val="21"/>
        </w:rPr>
      </w:pPr>
      <w:r>
        <w:rPr>
          <w:rFonts w:hint="eastAsia" w:ascii="宋体" w:hAnsi="宋体" w:cs="宋体"/>
          <w:szCs w:val="21"/>
        </w:rPr>
        <w:t>保险金不足以补偿损失时，承包人和发包人负责补偿的责任分摊：</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input552 \* MERGEFORMAT </w:instrText>
      </w:r>
      <w:r>
        <w:rPr>
          <w:rFonts w:hint="eastAsia" w:ascii="宋体" w:hAnsi="宋体" w:cs="宋体"/>
          <w:szCs w:val="21"/>
        </w:rPr>
        <w:fldChar w:fldCharType="end"/>
      </w:r>
    </w:p>
    <w:p w14:paraId="41F927D7">
      <w:pPr>
        <w:tabs>
          <w:tab w:val="left" w:pos="3855"/>
        </w:tabs>
        <w:spacing w:line="360" w:lineRule="auto"/>
        <w:outlineLvl w:val="0"/>
        <w:rPr>
          <w:rFonts w:ascii="宋体" w:hAnsi="宋体" w:cs="宋体"/>
          <w:szCs w:val="21"/>
        </w:rPr>
      </w:pPr>
      <w:r>
        <w:rPr>
          <w:rFonts w:hint="eastAsia" w:ascii="宋体" w:hAnsi="宋体" w:cs="宋体"/>
          <w:szCs w:val="21"/>
        </w:rPr>
        <w:t>21.不可抗力</w:t>
      </w:r>
    </w:p>
    <w:p w14:paraId="0E7A3169">
      <w:pPr>
        <w:tabs>
          <w:tab w:val="left" w:pos="3855"/>
        </w:tabs>
        <w:spacing w:line="360" w:lineRule="auto"/>
        <w:outlineLvl w:val="1"/>
        <w:rPr>
          <w:rFonts w:ascii="宋体" w:hAnsi="宋体" w:cs="宋体"/>
          <w:szCs w:val="21"/>
        </w:rPr>
      </w:pPr>
      <w:r>
        <w:rPr>
          <w:rFonts w:hint="eastAsia" w:ascii="宋体" w:hAnsi="宋体" w:cs="宋体"/>
          <w:szCs w:val="21"/>
        </w:rPr>
        <w:t>21.1不可抗力的确认</w:t>
      </w:r>
    </w:p>
    <w:p w14:paraId="00C63582">
      <w:pPr>
        <w:tabs>
          <w:tab w:val="left" w:pos="3855"/>
        </w:tabs>
        <w:spacing w:line="360" w:lineRule="auto"/>
        <w:outlineLvl w:val="2"/>
        <w:rPr>
          <w:rFonts w:ascii="宋体" w:hAnsi="宋体" w:cs="宋体"/>
          <w:szCs w:val="21"/>
        </w:rPr>
      </w:pPr>
      <w:r>
        <w:rPr>
          <w:rFonts w:hint="eastAsia" w:ascii="宋体" w:hAnsi="宋体" w:cs="宋体"/>
          <w:szCs w:val="21"/>
        </w:rPr>
        <w:t>21.1.1合同条款通用部分第21.1.1项约定的不可抗力以外的其他情形：</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input553 \* MERGEFORMAT </w:instrText>
      </w:r>
      <w:r>
        <w:rPr>
          <w:rFonts w:hint="eastAsia" w:ascii="宋体" w:hAnsi="宋体" w:cs="宋体"/>
          <w:szCs w:val="21"/>
        </w:rPr>
        <w:fldChar w:fldCharType="end"/>
      </w:r>
    </w:p>
    <w:p w14:paraId="4EFF5DB8">
      <w:pPr>
        <w:tabs>
          <w:tab w:val="left" w:pos="3855"/>
        </w:tabs>
        <w:spacing w:line="360" w:lineRule="auto"/>
        <w:rPr>
          <w:rFonts w:ascii="宋体" w:hAnsi="宋体" w:cs="宋体"/>
          <w:szCs w:val="21"/>
        </w:rPr>
      </w:pPr>
      <w:r>
        <w:rPr>
          <w:rFonts w:hint="eastAsia" w:ascii="宋体" w:hAnsi="宋体" w:cs="宋体"/>
          <w:szCs w:val="21"/>
        </w:rPr>
        <w:t>不可抗力的等级范围约定：</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input554 \* MERGEFORMAT </w:instrText>
      </w:r>
      <w:r>
        <w:rPr>
          <w:rFonts w:hint="eastAsia" w:ascii="宋体" w:hAnsi="宋体" w:cs="宋体"/>
          <w:szCs w:val="21"/>
        </w:rPr>
        <w:fldChar w:fldCharType="end"/>
      </w:r>
    </w:p>
    <w:p w14:paraId="35BB3D1A">
      <w:pPr>
        <w:tabs>
          <w:tab w:val="left" w:pos="3855"/>
        </w:tabs>
        <w:spacing w:line="360" w:lineRule="auto"/>
        <w:outlineLvl w:val="0"/>
        <w:rPr>
          <w:rFonts w:ascii="宋体" w:hAnsi="宋体" w:cs="宋体"/>
          <w:szCs w:val="21"/>
        </w:rPr>
      </w:pPr>
      <w:r>
        <w:rPr>
          <w:rFonts w:hint="eastAsia" w:ascii="宋体" w:hAnsi="宋体" w:cs="宋体"/>
          <w:szCs w:val="21"/>
        </w:rPr>
        <w:t>24.争议的解决</w:t>
      </w:r>
    </w:p>
    <w:p w14:paraId="6B23EAE8">
      <w:pPr>
        <w:tabs>
          <w:tab w:val="left" w:pos="3855"/>
        </w:tabs>
        <w:spacing w:line="360" w:lineRule="auto"/>
        <w:outlineLvl w:val="1"/>
        <w:rPr>
          <w:rFonts w:ascii="宋体" w:hAnsi="宋体" w:cs="宋体"/>
          <w:szCs w:val="21"/>
        </w:rPr>
      </w:pPr>
      <w:r>
        <w:rPr>
          <w:rFonts w:hint="eastAsia" w:ascii="宋体" w:hAnsi="宋体" w:cs="宋体"/>
          <w:szCs w:val="21"/>
        </w:rPr>
        <w:t>24.1争议的解决方式</w:t>
      </w:r>
    </w:p>
    <w:p w14:paraId="5BF7A5AA">
      <w:pPr>
        <w:tabs>
          <w:tab w:val="left" w:pos="3855"/>
        </w:tabs>
        <w:spacing w:line="360" w:lineRule="auto"/>
        <w:rPr>
          <w:rFonts w:ascii="宋体" w:hAnsi="宋体" w:cs="宋体"/>
          <w:szCs w:val="21"/>
        </w:rPr>
      </w:pPr>
      <w:r>
        <w:rPr>
          <w:rFonts w:hint="eastAsia" w:ascii="宋体" w:hAnsi="宋体" w:cs="宋体"/>
          <w:szCs w:val="21"/>
        </w:rPr>
        <w:t>因本合同引起的或与本合同有关的任何争议，合同双方友好协商不成、不愿提请争议组评审或者不愿接受争议评审组意见的，选择下列第</w:t>
      </w:r>
      <w:r>
        <w:rPr>
          <w:rFonts w:hint="eastAsia" w:ascii="宋体" w:hAnsi="宋体" w:cs="宋体"/>
          <w:szCs w:val="21"/>
          <w:u w:val="single"/>
        </w:rPr>
        <w:t>贰</w:t>
      </w:r>
      <w:r>
        <w:rPr>
          <w:rFonts w:hint="eastAsia" w:ascii="宋体" w:hAnsi="宋体" w:cs="宋体"/>
          <w:szCs w:val="21"/>
        </w:rPr>
        <w:fldChar w:fldCharType="begin"/>
      </w:r>
      <w:r>
        <w:rPr>
          <w:rFonts w:hint="eastAsia" w:ascii="宋体" w:hAnsi="宋体" w:cs="宋体"/>
          <w:szCs w:val="21"/>
        </w:rPr>
        <w:instrText xml:space="preserve"> AUTOTEXT  input555 \* MERGEFORMAT </w:instrText>
      </w:r>
      <w:r>
        <w:rPr>
          <w:rFonts w:hint="eastAsia" w:ascii="宋体" w:hAnsi="宋体" w:cs="宋体"/>
          <w:szCs w:val="21"/>
        </w:rPr>
        <w:fldChar w:fldCharType="end"/>
      </w:r>
      <w:r>
        <w:rPr>
          <w:rFonts w:hint="eastAsia" w:ascii="宋体" w:hAnsi="宋体" w:cs="宋体"/>
          <w:szCs w:val="21"/>
        </w:rPr>
        <w:t>种方式解决：</w:t>
      </w:r>
    </w:p>
    <w:p w14:paraId="469B4D70">
      <w:pPr>
        <w:tabs>
          <w:tab w:val="left" w:pos="3855"/>
        </w:tabs>
        <w:spacing w:line="360" w:lineRule="auto"/>
        <w:rPr>
          <w:rFonts w:ascii="宋体" w:hAnsi="宋体" w:cs="宋体"/>
          <w:szCs w:val="21"/>
        </w:rPr>
      </w:pPr>
      <w:r>
        <w:rPr>
          <w:rFonts w:hint="eastAsia" w:ascii="宋体" w:hAnsi="宋体" w:cs="宋体"/>
          <w:szCs w:val="21"/>
          <w:u w:val="single"/>
        </w:rPr>
        <w:t>（壹）</w:t>
      </w:r>
      <w:r>
        <w:rPr>
          <w:rFonts w:hint="eastAsia" w:ascii="宋体" w:hAnsi="宋体" w:cs="宋体"/>
          <w:szCs w:val="21"/>
        </w:rPr>
        <w:t>提请</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input556 \* MERGEFORMAT </w:instrText>
      </w:r>
      <w:r>
        <w:rPr>
          <w:rFonts w:hint="eastAsia" w:ascii="宋体" w:hAnsi="宋体" w:cs="宋体"/>
          <w:szCs w:val="21"/>
        </w:rPr>
        <w:fldChar w:fldCharType="end"/>
      </w:r>
      <w:r>
        <w:rPr>
          <w:rFonts w:hint="eastAsia" w:ascii="宋体" w:hAnsi="宋体" w:cs="宋体"/>
          <w:szCs w:val="21"/>
        </w:rPr>
        <w:t>仲裁委员会按照该会仲裁规则进行仲裁，仲裁裁决是终局的，对合同双方均有约束力。</w:t>
      </w:r>
    </w:p>
    <w:p w14:paraId="4EF6A3FE">
      <w:pPr>
        <w:tabs>
          <w:tab w:val="left" w:pos="3855"/>
        </w:tabs>
        <w:spacing w:line="360" w:lineRule="auto"/>
        <w:rPr>
          <w:rFonts w:ascii="宋体" w:hAnsi="宋体" w:cs="宋体"/>
          <w:szCs w:val="21"/>
        </w:rPr>
      </w:pPr>
      <w:r>
        <w:rPr>
          <w:rFonts w:hint="eastAsia" w:ascii="宋体" w:hAnsi="宋体" w:cs="宋体"/>
          <w:szCs w:val="21"/>
          <w:u w:val="single"/>
        </w:rPr>
        <w:t>（贰）</w:t>
      </w:r>
      <w:r>
        <w:rPr>
          <w:rFonts w:hint="eastAsia" w:ascii="宋体" w:hAnsi="宋体" w:cs="宋体"/>
          <w:szCs w:val="21"/>
        </w:rPr>
        <w:t>向发包人所在地有管辖权的人民法院提起诉讼。</w:t>
      </w:r>
    </w:p>
    <w:p w14:paraId="66FE2D19">
      <w:pPr>
        <w:tabs>
          <w:tab w:val="left" w:pos="3855"/>
        </w:tabs>
        <w:spacing w:line="360" w:lineRule="auto"/>
        <w:outlineLvl w:val="1"/>
        <w:rPr>
          <w:rFonts w:ascii="宋体" w:hAnsi="宋体" w:cs="宋体"/>
          <w:szCs w:val="21"/>
        </w:rPr>
      </w:pPr>
      <w:r>
        <w:rPr>
          <w:rFonts w:hint="eastAsia" w:ascii="宋体" w:hAnsi="宋体" w:cs="宋体"/>
          <w:szCs w:val="21"/>
        </w:rPr>
        <w:t>24.3争议评审</w:t>
      </w:r>
    </w:p>
    <w:p w14:paraId="40151284">
      <w:pPr>
        <w:tabs>
          <w:tab w:val="left" w:pos="3855"/>
        </w:tabs>
        <w:spacing w:line="360" w:lineRule="auto"/>
        <w:outlineLvl w:val="2"/>
        <w:rPr>
          <w:rFonts w:ascii="宋体" w:hAnsi="宋体" w:cs="宋体"/>
          <w:szCs w:val="21"/>
        </w:rPr>
      </w:pPr>
      <w:r>
        <w:rPr>
          <w:rFonts w:hint="eastAsia" w:ascii="宋体" w:hAnsi="宋体" w:cs="宋体"/>
          <w:szCs w:val="21"/>
        </w:rPr>
        <w:t>24.3.4争议评审组邀请合同双方代表人和有关人员举行调查会的期限：</w:t>
      </w:r>
      <w:r>
        <w:rPr>
          <w:rFonts w:hint="eastAsia" w:ascii="宋体" w:hAnsi="宋体" w:cs="宋体"/>
          <w:szCs w:val="21"/>
          <w:u w:val="single"/>
        </w:rPr>
        <w:t>/</w:t>
      </w:r>
      <w:r>
        <w:rPr>
          <w:rFonts w:hint="eastAsia" w:ascii="宋体" w:hAnsi="宋体" w:cs="宋体"/>
          <w:szCs w:val="21"/>
        </w:rPr>
        <w:fldChar w:fldCharType="begin"/>
      </w:r>
      <w:r>
        <w:rPr>
          <w:rFonts w:hint="eastAsia" w:ascii="宋体" w:hAnsi="宋体" w:cs="宋体"/>
          <w:szCs w:val="21"/>
        </w:rPr>
        <w:instrText xml:space="preserve"> AUTOTEXT  input557 \* MERGEFORMAT </w:instrText>
      </w:r>
      <w:r>
        <w:rPr>
          <w:rFonts w:hint="eastAsia" w:ascii="宋体" w:hAnsi="宋体" w:cs="宋体"/>
          <w:szCs w:val="21"/>
        </w:rPr>
        <w:fldChar w:fldCharType="end"/>
      </w:r>
    </w:p>
    <w:p w14:paraId="03742427">
      <w:pPr>
        <w:spacing w:line="360" w:lineRule="auto"/>
        <w:outlineLvl w:val="2"/>
        <w:rPr>
          <w:rFonts w:ascii="宋体" w:hAnsi="宋体" w:cs="宋体"/>
          <w:szCs w:val="21"/>
          <w:u w:val="single"/>
        </w:rPr>
      </w:pPr>
      <w:r>
        <w:rPr>
          <w:rFonts w:hint="eastAsia" w:ascii="宋体" w:hAnsi="宋体" w:cs="宋体"/>
          <w:szCs w:val="21"/>
        </w:rPr>
        <w:t>24.3.5争议评审组在调查会后作出争议评审意见的期限：</w:t>
      </w:r>
      <w:r>
        <w:rPr>
          <w:rFonts w:hint="eastAsia" w:ascii="宋体" w:hAnsi="宋体" w:cs="宋体"/>
          <w:szCs w:val="21"/>
          <w:u w:val="single"/>
        </w:rPr>
        <w:t>/</w:t>
      </w:r>
    </w:p>
    <w:p w14:paraId="199BA99D">
      <w:pPr>
        <w:pStyle w:val="136"/>
        <w:spacing w:before="0"/>
        <w:outlineLvl w:val="0"/>
        <w:rPr>
          <w:rFonts w:ascii="宋体" w:hAnsi="宋体" w:eastAsia="宋体"/>
        </w:rPr>
        <w:sectPr>
          <w:headerReference r:id="rId23" w:type="first"/>
          <w:headerReference r:id="rId21" w:type="default"/>
          <w:footerReference r:id="rId24" w:type="default"/>
          <w:headerReference r:id="rId22" w:type="even"/>
          <w:pgSz w:w="11906" w:h="16838"/>
          <w:pgMar w:top="1440" w:right="1797" w:bottom="1440" w:left="1797" w:header="454" w:footer="992" w:gutter="0"/>
          <w:cols w:space="720" w:num="1"/>
          <w:docGrid w:linePitch="312" w:charSpace="0"/>
        </w:sectPr>
      </w:pPr>
    </w:p>
    <w:p w14:paraId="03C69D6B">
      <w:pPr>
        <w:pStyle w:val="172"/>
        <w:rPr>
          <w:rFonts w:ascii="宋体" w:hAnsi="宋体" w:eastAsia="宋体"/>
        </w:rPr>
      </w:pPr>
      <w:bookmarkStart w:id="2401" w:name="_Toc342296516"/>
      <w:bookmarkStart w:id="2402" w:name="_Toc241459757"/>
      <w:bookmarkStart w:id="2403" w:name="_Toc111445497"/>
      <w:r>
        <w:rPr>
          <w:rFonts w:hint="eastAsia" w:ascii="宋体" w:hAnsi="宋体" w:eastAsia="宋体"/>
        </w:rPr>
        <w:t>附件一：质量保修书格式</w:t>
      </w:r>
      <w:bookmarkEnd w:id="2401"/>
      <w:bookmarkEnd w:id="2402"/>
    </w:p>
    <w:p w14:paraId="7591B9E1">
      <w:pPr>
        <w:tabs>
          <w:tab w:val="left" w:pos="3855"/>
        </w:tabs>
        <w:spacing w:line="400" w:lineRule="exact"/>
        <w:ind w:firstLine="560" w:firstLineChars="200"/>
        <w:jc w:val="center"/>
        <w:rPr>
          <w:rFonts w:ascii="宋体" w:hAnsi="宋体"/>
          <w:sz w:val="28"/>
        </w:rPr>
      </w:pPr>
    </w:p>
    <w:p w14:paraId="7294ECCA">
      <w:pPr>
        <w:tabs>
          <w:tab w:val="left" w:pos="3855"/>
        </w:tabs>
        <w:spacing w:line="400" w:lineRule="exact"/>
        <w:ind w:firstLine="560" w:firstLineChars="200"/>
        <w:jc w:val="center"/>
        <w:rPr>
          <w:rFonts w:ascii="宋体" w:hAnsi="宋体"/>
          <w:sz w:val="28"/>
        </w:rPr>
      </w:pPr>
      <w:r>
        <w:rPr>
          <w:rFonts w:hint="eastAsia" w:ascii="宋体" w:hAnsi="宋体"/>
          <w:sz w:val="28"/>
        </w:rPr>
        <w:t>房屋建筑工程质量保修书</w:t>
      </w:r>
      <w:bookmarkEnd w:id="2403"/>
    </w:p>
    <w:p w14:paraId="564CEB8E">
      <w:pPr>
        <w:spacing w:line="400" w:lineRule="exact"/>
        <w:rPr>
          <w:rFonts w:ascii="宋体" w:hAnsi="宋体"/>
        </w:rPr>
      </w:pPr>
    </w:p>
    <w:p w14:paraId="5FF58F42">
      <w:pPr>
        <w:spacing w:line="400" w:lineRule="exact"/>
        <w:ind w:firstLine="488"/>
        <w:rPr>
          <w:rFonts w:ascii="宋体" w:hAnsi="宋体"/>
          <w:u w:val="single"/>
        </w:rPr>
      </w:pPr>
      <w:r>
        <w:rPr>
          <w:rFonts w:hint="eastAsia" w:ascii="宋体" w:hAnsi="宋体"/>
        </w:rPr>
        <w:t>发包人：</w:t>
      </w:r>
      <w:r>
        <w:rPr>
          <w:rFonts w:hint="eastAsia" w:ascii="宋体" w:hAnsi="宋体"/>
          <w:u w:val="single"/>
        </w:rPr>
        <w:t xml:space="preserve"> 中国科学院软件研究所 </w:t>
      </w:r>
    </w:p>
    <w:p w14:paraId="6A85CDA9">
      <w:pPr>
        <w:spacing w:line="400" w:lineRule="exact"/>
        <w:ind w:firstLine="488"/>
        <w:rPr>
          <w:rFonts w:ascii="宋体" w:hAnsi="宋体"/>
        </w:rPr>
      </w:pPr>
      <w:r>
        <w:rPr>
          <w:rFonts w:hint="eastAsia" w:ascii="宋体" w:hAnsi="宋体"/>
        </w:rPr>
        <w:t>承包人：</w:t>
      </w:r>
      <w:r>
        <w:rPr>
          <w:rFonts w:hint="eastAsia" w:ascii="宋体" w:hAnsi="宋体"/>
          <w:u w:val="single"/>
        </w:rPr>
        <w:t xml:space="preserve">                            </w:t>
      </w:r>
    </w:p>
    <w:p w14:paraId="2A2FC1CF">
      <w:pPr>
        <w:spacing w:line="400" w:lineRule="exact"/>
        <w:ind w:firstLine="488"/>
        <w:rPr>
          <w:rFonts w:ascii="宋体" w:hAnsi="宋体"/>
          <w:u w:val="single"/>
        </w:rPr>
      </w:pPr>
    </w:p>
    <w:p w14:paraId="052AEDE1">
      <w:pPr>
        <w:spacing w:line="400" w:lineRule="exact"/>
        <w:ind w:firstLine="490"/>
        <w:rPr>
          <w:rFonts w:ascii="宋体" w:hAnsi="宋体"/>
        </w:rPr>
      </w:pPr>
      <w:r>
        <w:rPr>
          <w:rFonts w:hint="eastAsia" w:ascii="宋体" w:hAnsi="宋体"/>
        </w:rPr>
        <w:t>发包人、承包人根据《中华人民共和国建筑法》、《建设工程质量管理条例》和《房屋建筑工程质量保修办法》，经协商一致，对</w:t>
      </w:r>
      <w:r>
        <w:rPr>
          <w:rFonts w:hint="eastAsia" w:ascii="宋体" w:hAnsi="宋体"/>
          <w:u w:val="single"/>
        </w:rPr>
        <w:t xml:space="preserve"> 中国科学院软件研究所7号楼10层装修改造项目 </w:t>
      </w:r>
      <w:r>
        <w:rPr>
          <w:rFonts w:hint="eastAsia" w:ascii="宋体" w:hAnsi="宋体"/>
        </w:rPr>
        <w:t>（工程名称）签订保修书。</w:t>
      </w:r>
    </w:p>
    <w:p w14:paraId="5AF495BF">
      <w:pPr>
        <w:pStyle w:val="376"/>
        <w:numPr>
          <w:ilvl w:val="0"/>
          <w:numId w:val="22"/>
        </w:numPr>
        <w:rPr>
          <w:rFonts w:ascii="宋体" w:hAnsi="宋体"/>
        </w:rPr>
      </w:pPr>
      <w:bookmarkStart w:id="2404" w:name="_Toc111445498"/>
      <w:bookmarkStart w:id="2405" w:name="_Toc482278156"/>
      <w:bookmarkStart w:id="2406" w:name="_Toc482259533"/>
      <w:bookmarkStart w:id="2407" w:name="_Toc488224405"/>
      <w:r>
        <w:rPr>
          <w:rFonts w:hint="eastAsia" w:ascii="宋体" w:hAnsi="宋体"/>
        </w:rPr>
        <w:t>工程保修范围和内容</w:t>
      </w:r>
      <w:bookmarkEnd w:id="2404"/>
      <w:bookmarkEnd w:id="2405"/>
      <w:bookmarkEnd w:id="2406"/>
      <w:bookmarkEnd w:id="2407"/>
    </w:p>
    <w:p w14:paraId="7421A563">
      <w:pPr>
        <w:spacing w:line="400" w:lineRule="exact"/>
        <w:ind w:firstLine="490"/>
        <w:rPr>
          <w:rFonts w:ascii="宋体" w:hAnsi="宋体"/>
        </w:rPr>
      </w:pPr>
      <w:r>
        <w:rPr>
          <w:rFonts w:hint="eastAsia" w:ascii="宋体" w:hAnsi="宋体"/>
        </w:rPr>
        <w:t>承包人在保修期内，按照有关法律、法规、规章的管理规定和双方约定，承担本工程保修责任。</w:t>
      </w:r>
    </w:p>
    <w:p w14:paraId="49D2C179">
      <w:pPr>
        <w:spacing w:line="400" w:lineRule="exact"/>
        <w:ind w:firstLine="490"/>
        <w:rPr>
          <w:rFonts w:ascii="宋体" w:hAnsi="宋体"/>
        </w:rPr>
      </w:pPr>
      <w:r>
        <w:rPr>
          <w:rFonts w:hint="eastAsia" w:ascii="宋体" w:hAnsi="宋体"/>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5551833">
      <w:pPr>
        <w:spacing w:line="400" w:lineRule="exact"/>
        <w:rPr>
          <w:rFonts w:ascii="宋体" w:hAnsi="宋体"/>
          <w:u w:val="single"/>
        </w:rPr>
      </w:pPr>
      <w:r>
        <w:rPr>
          <w:rFonts w:hint="eastAsia" w:ascii="宋体" w:hAnsi="宋体"/>
          <w:u w:val="single"/>
        </w:rPr>
        <w:t xml:space="preserve">                                                                                                                                                      </w:t>
      </w:r>
    </w:p>
    <w:p w14:paraId="1C8E1CD1">
      <w:pPr>
        <w:spacing w:line="400" w:lineRule="exact"/>
        <w:rPr>
          <w:rFonts w:ascii="宋体" w:hAnsi="宋体"/>
          <w:u w:val="single"/>
        </w:rPr>
      </w:pPr>
      <w:r>
        <w:rPr>
          <w:rFonts w:hint="eastAsia" w:ascii="宋体" w:hAnsi="宋体"/>
          <w:u w:val="single"/>
        </w:rPr>
        <w:t xml:space="preserve">                                                                                                                                                        </w:t>
      </w:r>
    </w:p>
    <w:p w14:paraId="12F451EC">
      <w:pPr>
        <w:spacing w:line="400" w:lineRule="exact"/>
        <w:rPr>
          <w:rFonts w:ascii="宋体" w:hAnsi="宋体"/>
        </w:rPr>
      </w:pPr>
      <w:r>
        <w:rPr>
          <w:rFonts w:hint="eastAsia" w:ascii="宋体" w:hAnsi="宋体"/>
          <w:u w:val="single"/>
        </w:rPr>
        <w:t xml:space="preserve">                                                                                                                                                    </w:t>
      </w:r>
      <w:r>
        <w:rPr>
          <w:rFonts w:hint="eastAsia" w:ascii="宋体" w:hAnsi="宋体"/>
        </w:rPr>
        <w:t>。</w:t>
      </w:r>
    </w:p>
    <w:p w14:paraId="41F795F6">
      <w:pPr>
        <w:pStyle w:val="376"/>
        <w:rPr>
          <w:rFonts w:ascii="宋体" w:hAnsi="宋体"/>
        </w:rPr>
      </w:pPr>
      <w:bookmarkStart w:id="2408" w:name="_Toc488224406"/>
      <w:bookmarkStart w:id="2409" w:name="_Toc482278157"/>
      <w:bookmarkStart w:id="2410" w:name="_Toc111445499"/>
      <w:bookmarkStart w:id="2411" w:name="_Toc482259534"/>
      <w:r>
        <w:rPr>
          <w:rFonts w:hint="eastAsia" w:ascii="宋体" w:hAnsi="宋体"/>
        </w:rPr>
        <w:t>二、保修期</w:t>
      </w:r>
      <w:bookmarkEnd w:id="2408"/>
      <w:bookmarkEnd w:id="2409"/>
      <w:bookmarkEnd w:id="2410"/>
      <w:bookmarkEnd w:id="2411"/>
    </w:p>
    <w:p w14:paraId="5240E64B">
      <w:pPr>
        <w:spacing w:line="400" w:lineRule="exact"/>
        <w:ind w:left="420"/>
        <w:rPr>
          <w:rFonts w:ascii="宋体" w:hAnsi="宋体"/>
        </w:rPr>
      </w:pPr>
      <w:r>
        <w:rPr>
          <w:rFonts w:hint="eastAsia" w:ascii="宋体" w:hAnsi="宋体"/>
        </w:rPr>
        <w:t>双方根据《建设工程质量管理条例》及有关规定，约定本工程的保修期如下：</w:t>
      </w:r>
    </w:p>
    <w:p w14:paraId="1ECFA29D">
      <w:pPr>
        <w:numPr>
          <w:ilvl w:val="1"/>
          <w:numId w:val="23"/>
        </w:numPr>
        <w:tabs>
          <w:tab w:val="left" w:pos="800"/>
          <w:tab w:val="left" w:pos="1740"/>
        </w:tabs>
        <w:spacing w:line="400" w:lineRule="exact"/>
        <w:rPr>
          <w:rFonts w:ascii="宋体" w:hAnsi="宋体"/>
        </w:rPr>
      </w:pPr>
      <w:r>
        <w:rPr>
          <w:rFonts w:hint="eastAsia" w:ascii="宋体" w:hAnsi="宋体"/>
        </w:rPr>
        <w:t>地基基础工程和主体结构工程为设计文件规定的该工程合理使用年限；</w:t>
      </w:r>
    </w:p>
    <w:p w14:paraId="1E9E32EF">
      <w:pPr>
        <w:numPr>
          <w:ilvl w:val="1"/>
          <w:numId w:val="23"/>
        </w:numPr>
        <w:tabs>
          <w:tab w:val="left" w:pos="800"/>
          <w:tab w:val="left" w:pos="1740"/>
        </w:tabs>
        <w:spacing w:line="400" w:lineRule="exact"/>
        <w:rPr>
          <w:rFonts w:ascii="宋体" w:hAnsi="宋体"/>
        </w:rPr>
      </w:pPr>
      <w:r>
        <w:rPr>
          <w:rFonts w:hint="eastAsia" w:ascii="宋体" w:hAnsi="宋体"/>
        </w:rPr>
        <w:t>屋面防水工程、有防水要求的卫生间、房间和外墙面的防渗漏为</w:t>
      </w:r>
      <w:r>
        <w:rPr>
          <w:rFonts w:hint="eastAsia" w:ascii="宋体" w:hAnsi="宋体"/>
          <w:u w:val="single"/>
        </w:rPr>
        <w:t xml:space="preserve">  5  </w:t>
      </w:r>
      <w:r>
        <w:rPr>
          <w:rFonts w:hint="eastAsia" w:ascii="宋体" w:hAnsi="宋体"/>
        </w:rPr>
        <w:t>年；</w:t>
      </w:r>
    </w:p>
    <w:p w14:paraId="3614C2C2">
      <w:pPr>
        <w:numPr>
          <w:ilvl w:val="1"/>
          <w:numId w:val="23"/>
        </w:numPr>
        <w:tabs>
          <w:tab w:val="left" w:pos="800"/>
          <w:tab w:val="left" w:pos="1740"/>
        </w:tabs>
        <w:spacing w:line="400" w:lineRule="exact"/>
        <w:rPr>
          <w:rFonts w:ascii="宋体" w:hAnsi="宋体"/>
        </w:rPr>
      </w:pPr>
      <w:r>
        <w:rPr>
          <w:rFonts w:hint="eastAsia" w:ascii="宋体" w:hAnsi="宋体"/>
        </w:rPr>
        <w:t>外窗工程为</w:t>
      </w:r>
      <w:r>
        <w:rPr>
          <w:rFonts w:hint="eastAsia" w:ascii="宋体" w:hAnsi="宋体"/>
          <w:u w:val="single"/>
        </w:rPr>
        <w:t xml:space="preserve">  2  </w:t>
      </w:r>
      <w:r>
        <w:rPr>
          <w:rFonts w:hint="eastAsia" w:ascii="宋体" w:hAnsi="宋体"/>
        </w:rPr>
        <w:t>年，外窗防渗漏为</w:t>
      </w:r>
      <w:r>
        <w:rPr>
          <w:rFonts w:hint="eastAsia" w:ascii="宋体" w:hAnsi="宋体"/>
          <w:u w:val="single"/>
        </w:rPr>
        <w:t xml:space="preserve">  5  </w:t>
      </w:r>
      <w:r>
        <w:rPr>
          <w:rFonts w:hint="eastAsia" w:ascii="宋体" w:hAnsi="宋体"/>
        </w:rPr>
        <w:t>年；</w:t>
      </w:r>
    </w:p>
    <w:p w14:paraId="55804E56">
      <w:pPr>
        <w:numPr>
          <w:ilvl w:val="1"/>
          <w:numId w:val="23"/>
        </w:numPr>
        <w:tabs>
          <w:tab w:val="left" w:pos="800"/>
          <w:tab w:val="left" w:pos="1740"/>
        </w:tabs>
        <w:spacing w:line="400" w:lineRule="exact"/>
        <w:rPr>
          <w:rFonts w:ascii="宋体" w:hAnsi="宋体"/>
        </w:rPr>
      </w:pPr>
      <w:r>
        <w:rPr>
          <w:rFonts w:hint="eastAsia" w:ascii="宋体" w:hAnsi="宋体"/>
        </w:rPr>
        <w:t>装修工程为</w:t>
      </w:r>
      <w:r>
        <w:rPr>
          <w:rFonts w:hint="eastAsia" w:ascii="宋体" w:hAnsi="宋体"/>
          <w:u w:val="single"/>
        </w:rPr>
        <w:t xml:space="preserve">  2   </w:t>
      </w:r>
      <w:r>
        <w:rPr>
          <w:rFonts w:hint="eastAsia" w:ascii="宋体" w:hAnsi="宋体"/>
        </w:rPr>
        <w:t>年；</w:t>
      </w:r>
    </w:p>
    <w:p w14:paraId="364A2C7C">
      <w:pPr>
        <w:numPr>
          <w:ilvl w:val="1"/>
          <w:numId w:val="23"/>
        </w:numPr>
        <w:tabs>
          <w:tab w:val="left" w:pos="800"/>
          <w:tab w:val="left" w:pos="1740"/>
        </w:tabs>
        <w:spacing w:line="400" w:lineRule="exact"/>
        <w:rPr>
          <w:rFonts w:ascii="宋体" w:hAnsi="宋体"/>
        </w:rPr>
      </w:pPr>
      <w:r>
        <w:rPr>
          <w:rFonts w:hint="eastAsia" w:ascii="宋体" w:hAnsi="宋体"/>
        </w:rPr>
        <w:t>电气管线、给排水管道、设备安装工程为</w:t>
      </w:r>
      <w:r>
        <w:rPr>
          <w:rFonts w:hint="eastAsia" w:ascii="宋体" w:hAnsi="宋体"/>
          <w:u w:val="single"/>
        </w:rPr>
        <w:t xml:space="preserve">  2  </w:t>
      </w:r>
      <w:r>
        <w:rPr>
          <w:rFonts w:hint="eastAsia" w:ascii="宋体" w:hAnsi="宋体"/>
        </w:rPr>
        <w:t>年；</w:t>
      </w:r>
    </w:p>
    <w:p w14:paraId="56995275">
      <w:pPr>
        <w:numPr>
          <w:ilvl w:val="1"/>
          <w:numId w:val="23"/>
        </w:numPr>
        <w:tabs>
          <w:tab w:val="left" w:pos="800"/>
          <w:tab w:val="left" w:pos="1740"/>
        </w:tabs>
        <w:spacing w:line="400" w:lineRule="exact"/>
        <w:rPr>
          <w:rFonts w:ascii="宋体" w:hAnsi="宋体"/>
        </w:rPr>
      </w:pPr>
      <w:r>
        <w:rPr>
          <w:rFonts w:hint="eastAsia" w:ascii="宋体" w:hAnsi="宋体"/>
        </w:rPr>
        <w:t>供热与供冷系统为</w:t>
      </w:r>
      <w:r>
        <w:rPr>
          <w:rFonts w:hint="eastAsia" w:ascii="宋体" w:hAnsi="宋体"/>
          <w:u w:val="single"/>
        </w:rPr>
        <w:t xml:space="preserve">  2  </w:t>
      </w:r>
      <w:r>
        <w:rPr>
          <w:rFonts w:hint="eastAsia" w:ascii="宋体" w:hAnsi="宋体"/>
        </w:rPr>
        <w:t>个采暖期、供冷期；</w:t>
      </w:r>
    </w:p>
    <w:p w14:paraId="52FD424C">
      <w:pPr>
        <w:numPr>
          <w:ilvl w:val="1"/>
          <w:numId w:val="23"/>
        </w:numPr>
        <w:tabs>
          <w:tab w:val="left" w:pos="800"/>
          <w:tab w:val="left" w:pos="1740"/>
        </w:tabs>
        <w:spacing w:line="400" w:lineRule="exact"/>
        <w:rPr>
          <w:rFonts w:ascii="宋体" w:hAnsi="宋体"/>
        </w:rPr>
      </w:pPr>
      <w:r>
        <w:rPr>
          <w:rFonts w:hint="eastAsia" w:ascii="宋体" w:hAnsi="宋体"/>
        </w:rPr>
        <w:t>住宅小区内的给排水设施、道路等配套工程为</w:t>
      </w:r>
      <w:r>
        <w:rPr>
          <w:rFonts w:hint="eastAsia" w:ascii="宋体" w:hAnsi="宋体"/>
          <w:u w:val="single"/>
        </w:rPr>
        <w:t xml:space="preserve">  2  </w:t>
      </w:r>
      <w:r>
        <w:rPr>
          <w:rFonts w:hint="eastAsia" w:ascii="宋体" w:hAnsi="宋体"/>
        </w:rPr>
        <w:t>年；</w:t>
      </w:r>
    </w:p>
    <w:p w14:paraId="58E537BF">
      <w:pPr>
        <w:numPr>
          <w:ilvl w:val="1"/>
          <w:numId w:val="23"/>
        </w:numPr>
        <w:tabs>
          <w:tab w:val="left" w:pos="800"/>
          <w:tab w:val="left" w:pos="1740"/>
        </w:tabs>
        <w:spacing w:line="400" w:lineRule="exact"/>
        <w:rPr>
          <w:rFonts w:ascii="宋体" w:hAnsi="宋体"/>
        </w:rPr>
      </w:pPr>
      <w:r>
        <w:rPr>
          <w:rFonts w:hint="eastAsia" w:ascii="宋体" w:hAnsi="宋体"/>
        </w:rPr>
        <w:t>其他项目保修期限约定如下：</w:t>
      </w:r>
    </w:p>
    <w:p w14:paraId="6C9887EE">
      <w:pPr>
        <w:spacing w:line="400" w:lineRule="exact"/>
        <w:rPr>
          <w:rFonts w:ascii="宋体" w:hAnsi="宋体"/>
          <w:u w:val="single"/>
        </w:rPr>
      </w:pPr>
      <w:r>
        <w:rPr>
          <w:rFonts w:hint="eastAsia" w:ascii="宋体" w:hAnsi="宋体"/>
          <w:u w:val="single"/>
        </w:rPr>
        <w:t xml:space="preserve">                                                                                                                                                        </w:t>
      </w:r>
    </w:p>
    <w:p w14:paraId="32A3A4BB">
      <w:pPr>
        <w:spacing w:line="400" w:lineRule="exact"/>
        <w:rPr>
          <w:rFonts w:ascii="宋体" w:hAnsi="宋体"/>
        </w:rPr>
      </w:pPr>
      <w:r>
        <w:rPr>
          <w:rFonts w:hint="eastAsia" w:ascii="宋体" w:hAnsi="宋体"/>
          <w:u w:val="single"/>
        </w:rPr>
        <w:t xml:space="preserve">                                                              </w:t>
      </w:r>
      <w:r>
        <w:rPr>
          <w:rFonts w:hint="eastAsia" w:ascii="宋体" w:hAnsi="宋体"/>
        </w:rPr>
        <w:t>。</w:t>
      </w:r>
    </w:p>
    <w:p w14:paraId="4AF369BB">
      <w:pPr>
        <w:pStyle w:val="376"/>
        <w:rPr>
          <w:rFonts w:ascii="宋体" w:hAnsi="宋体"/>
        </w:rPr>
      </w:pPr>
      <w:bookmarkStart w:id="2412" w:name="_Toc482259535"/>
      <w:bookmarkStart w:id="2413" w:name="_Toc111445500"/>
      <w:bookmarkStart w:id="2414" w:name="_Toc488224407"/>
      <w:bookmarkStart w:id="2415" w:name="_Toc482278158"/>
      <w:r>
        <w:rPr>
          <w:rFonts w:hint="eastAsia" w:ascii="宋体" w:hAnsi="宋体"/>
        </w:rPr>
        <w:t>三、保修责任</w:t>
      </w:r>
      <w:bookmarkEnd w:id="2412"/>
      <w:bookmarkEnd w:id="2413"/>
      <w:bookmarkEnd w:id="2414"/>
      <w:bookmarkEnd w:id="2415"/>
    </w:p>
    <w:p w14:paraId="772C15EE">
      <w:pPr>
        <w:tabs>
          <w:tab w:val="left" w:pos="1740"/>
        </w:tabs>
        <w:spacing w:line="400" w:lineRule="exact"/>
        <w:ind w:firstLine="420" w:firstLineChars="200"/>
        <w:rPr>
          <w:rFonts w:ascii="宋体" w:hAnsi="宋体"/>
        </w:rPr>
      </w:pPr>
      <w:r>
        <w:rPr>
          <w:rFonts w:hint="eastAsia" w:ascii="宋体" w:hAnsi="宋体"/>
        </w:rPr>
        <w:t>1、属于责任范围、内容的项目，承包人应当在接到保修通知之日起7天内派人保修。承包人不在约定期限内派人保修的，发包人可以委托他人修理。</w:t>
      </w:r>
    </w:p>
    <w:p w14:paraId="715233FC">
      <w:pPr>
        <w:tabs>
          <w:tab w:val="left" w:pos="1740"/>
        </w:tabs>
        <w:spacing w:line="400" w:lineRule="exact"/>
        <w:ind w:firstLine="420" w:firstLineChars="200"/>
        <w:rPr>
          <w:rFonts w:ascii="宋体" w:hAnsi="宋体"/>
        </w:rPr>
      </w:pPr>
      <w:r>
        <w:rPr>
          <w:rFonts w:hint="eastAsia" w:ascii="宋体" w:hAnsi="宋体"/>
        </w:rPr>
        <w:t>2、发生紧急抢修事故的，承包人在接到事故通知后，应当立即到达事故现场抢修。</w:t>
      </w:r>
    </w:p>
    <w:p w14:paraId="79A1335E">
      <w:pPr>
        <w:tabs>
          <w:tab w:val="left" w:pos="1740"/>
        </w:tabs>
        <w:spacing w:line="400" w:lineRule="exact"/>
        <w:ind w:firstLine="420" w:firstLineChars="200"/>
        <w:rPr>
          <w:rFonts w:ascii="宋体" w:hAnsi="宋体"/>
        </w:rPr>
      </w:pPr>
      <w:r>
        <w:rPr>
          <w:rFonts w:hint="eastAsia" w:ascii="宋体" w:hAnsi="宋体"/>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383CA1D9">
      <w:pPr>
        <w:tabs>
          <w:tab w:val="left" w:pos="1740"/>
        </w:tabs>
        <w:spacing w:line="400" w:lineRule="exact"/>
        <w:ind w:firstLine="420" w:firstLineChars="200"/>
        <w:rPr>
          <w:rFonts w:ascii="宋体" w:hAnsi="宋体"/>
        </w:rPr>
      </w:pPr>
      <w:r>
        <w:rPr>
          <w:rFonts w:hint="eastAsia" w:ascii="宋体" w:hAnsi="宋体"/>
        </w:rPr>
        <w:t>4、质量保修完成后，由发包人组织验收。</w:t>
      </w:r>
    </w:p>
    <w:p w14:paraId="0919CFB0">
      <w:pPr>
        <w:pStyle w:val="376"/>
        <w:rPr>
          <w:rFonts w:ascii="宋体" w:hAnsi="宋体"/>
        </w:rPr>
      </w:pPr>
      <w:bookmarkStart w:id="2416" w:name="_Toc482259536"/>
      <w:bookmarkStart w:id="2417" w:name="_Toc482278159"/>
      <w:bookmarkStart w:id="2418" w:name="_Toc488224408"/>
      <w:bookmarkStart w:id="2419" w:name="_Toc111445501"/>
      <w:r>
        <w:rPr>
          <w:rFonts w:hint="eastAsia" w:ascii="宋体" w:hAnsi="宋体"/>
        </w:rPr>
        <w:t>四、保修费用</w:t>
      </w:r>
      <w:bookmarkEnd w:id="2416"/>
      <w:bookmarkEnd w:id="2417"/>
      <w:bookmarkEnd w:id="2418"/>
      <w:bookmarkEnd w:id="2419"/>
    </w:p>
    <w:p w14:paraId="3E413BD9">
      <w:pPr>
        <w:spacing w:line="400" w:lineRule="exact"/>
        <w:ind w:left="420"/>
        <w:rPr>
          <w:rFonts w:ascii="宋体" w:hAnsi="宋体"/>
          <w:u w:val="single"/>
        </w:rPr>
      </w:pPr>
      <w:r>
        <w:rPr>
          <w:rFonts w:hint="eastAsia" w:ascii="宋体" w:hAnsi="宋体"/>
        </w:rPr>
        <w:t>保修费用由造成质量缺陷的责任方承担。</w:t>
      </w:r>
    </w:p>
    <w:p w14:paraId="67A1D46A">
      <w:pPr>
        <w:pStyle w:val="376"/>
        <w:rPr>
          <w:rFonts w:ascii="宋体" w:hAnsi="宋体"/>
        </w:rPr>
      </w:pPr>
      <w:bookmarkStart w:id="2420" w:name="_Toc488224409"/>
      <w:bookmarkStart w:id="2421" w:name="_Toc482259537"/>
      <w:bookmarkStart w:id="2422" w:name="_Toc482278160"/>
      <w:bookmarkStart w:id="2423" w:name="_Toc111445502"/>
      <w:r>
        <w:rPr>
          <w:rFonts w:hint="eastAsia" w:ascii="宋体" w:hAnsi="宋体"/>
        </w:rPr>
        <w:t>五、其 他</w:t>
      </w:r>
      <w:bookmarkEnd w:id="2420"/>
      <w:bookmarkEnd w:id="2421"/>
      <w:bookmarkEnd w:id="2422"/>
      <w:bookmarkEnd w:id="2423"/>
    </w:p>
    <w:p w14:paraId="465EC584">
      <w:pPr>
        <w:spacing w:line="400" w:lineRule="exact"/>
        <w:ind w:left="420"/>
        <w:rPr>
          <w:rFonts w:ascii="宋体" w:hAnsi="宋体"/>
        </w:rPr>
      </w:pPr>
      <w:r>
        <w:rPr>
          <w:rFonts w:hint="eastAsia" w:ascii="宋体" w:hAnsi="宋体"/>
        </w:rPr>
        <w:t>双方约定的其他工程保修责任事项：</w:t>
      </w:r>
    </w:p>
    <w:p w14:paraId="3CCC3F15">
      <w:pPr>
        <w:spacing w:line="400" w:lineRule="exact"/>
        <w:rPr>
          <w:rFonts w:ascii="宋体" w:hAnsi="宋体"/>
          <w:u w:val="single"/>
        </w:rPr>
      </w:pPr>
      <w:r>
        <w:rPr>
          <w:rFonts w:hint="eastAsia" w:ascii="宋体" w:hAnsi="宋体"/>
          <w:u w:val="single"/>
        </w:rPr>
        <w:t xml:space="preserve">        无                                                                                                                                                </w:t>
      </w:r>
    </w:p>
    <w:p w14:paraId="029CD236">
      <w:pPr>
        <w:spacing w:line="400" w:lineRule="exact"/>
        <w:rPr>
          <w:rFonts w:ascii="宋体" w:hAnsi="宋体"/>
          <w:u w:val="single"/>
        </w:rPr>
      </w:pPr>
      <w:r>
        <w:rPr>
          <w:rFonts w:hint="eastAsia" w:ascii="宋体" w:hAnsi="宋体"/>
          <w:u w:val="single"/>
        </w:rPr>
        <w:t xml:space="preserve">                                                                                                                                                        </w:t>
      </w:r>
    </w:p>
    <w:p w14:paraId="55392354">
      <w:pPr>
        <w:spacing w:line="400" w:lineRule="exact"/>
        <w:rPr>
          <w:rFonts w:ascii="宋体" w:hAnsi="宋体"/>
        </w:rPr>
      </w:pPr>
      <w:r>
        <w:rPr>
          <w:rFonts w:hint="eastAsia" w:ascii="宋体" w:hAnsi="宋体"/>
          <w:u w:val="single"/>
        </w:rPr>
        <w:t xml:space="preserve">                                                                                                                                                    </w:t>
      </w:r>
      <w:r>
        <w:rPr>
          <w:rFonts w:hint="eastAsia" w:ascii="宋体" w:hAnsi="宋体"/>
        </w:rPr>
        <w:t>。</w:t>
      </w:r>
    </w:p>
    <w:p w14:paraId="0C0D32D3">
      <w:pPr>
        <w:spacing w:line="400" w:lineRule="exact"/>
        <w:ind w:firstLine="420"/>
        <w:rPr>
          <w:rFonts w:ascii="宋体" w:hAnsi="宋体"/>
        </w:rPr>
      </w:pPr>
      <w:r>
        <w:rPr>
          <w:rFonts w:hint="eastAsia" w:ascii="宋体" w:hAnsi="宋体"/>
        </w:rPr>
        <w:t>本工程保修书，由施工合同发包人、承包人双方在竣工验收前共同签署，作为施工合同附件，其有效期限至保修期满。</w:t>
      </w:r>
    </w:p>
    <w:p w14:paraId="716382F2">
      <w:pPr>
        <w:spacing w:line="400" w:lineRule="exact"/>
        <w:ind w:left="420"/>
        <w:rPr>
          <w:rFonts w:ascii="宋体" w:hAnsi="宋体"/>
        </w:rPr>
      </w:pPr>
    </w:p>
    <w:p w14:paraId="11A363E5">
      <w:pPr>
        <w:spacing w:line="480" w:lineRule="auto"/>
        <w:ind w:firstLine="420" w:firstLineChars="200"/>
        <w:rPr>
          <w:rFonts w:ascii="宋体" w:hAnsi="宋体"/>
          <w:u w:val="single"/>
        </w:rPr>
      </w:pPr>
      <w:r>
        <w:rPr>
          <w:rFonts w:hint="eastAsia" w:ascii="宋体" w:hAnsi="宋体"/>
        </w:rPr>
        <w:t>发包人：                             承包人：</w:t>
      </w:r>
    </w:p>
    <w:p w14:paraId="443C03E9">
      <w:pPr>
        <w:spacing w:line="480" w:lineRule="auto"/>
        <w:ind w:firstLine="420" w:firstLineChars="200"/>
        <w:jc w:val="left"/>
        <w:rPr>
          <w:rFonts w:ascii="宋体" w:hAnsi="宋体"/>
          <w:u w:val="single"/>
        </w:rPr>
      </w:pPr>
      <w:r>
        <w:rPr>
          <w:rFonts w:hint="eastAsia" w:ascii="宋体" w:hAnsi="宋体"/>
          <w:u w:val="single"/>
        </w:rPr>
        <w:t>中国科学院软件研究所（公章）</w:t>
      </w:r>
      <w:r>
        <w:rPr>
          <w:rFonts w:hint="eastAsia" w:ascii="宋体" w:hAnsi="宋体"/>
        </w:rPr>
        <w:t xml:space="preserve">   </w:t>
      </w:r>
      <w:r>
        <w:rPr>
          <w:rFonts w:hint="eastAsia" w:ascii="宋体" w:hAnsi="宋体"/>
          <w:u w:val="single"/>
        </w:rPr>
        <w:t xml:space="preserve">                 （公章）   </w:t>
      </w:r>
    </w:p>
    <w:p w14:paraId="4D6ED291">
      <w:pPr>
        <w:tabs>
          <w:tab w:val="left" w:pos="4275"/>
        </w:tabs>
        <w:spacing w:line="480" w:lineRule="auto"/>
        <w:ind w:firstLine="420" w:firstLineChars="200"/>
        <w:rPr>
          <w:rFonts w:ascii="宋体" w:hAnsi="宋体"/>
        </w:rPr>
      </w:pPr>
      <w:r>
        <w:rPr>
          <w:rFonts w:hint="eastAsia" w:ascii="宋体" w:hAnsi="宋体"/>
        </w:rPr>
        <w:t>法定地址：</w:t>
      </w:r>
      <w:r>
        <w:rPr>
          <w:rFonts w:hint="eastAsia" w:ascii="宋体" w:hAnsi="宋体"/>
          <w:u w:val="single"/>
        </w:rPr>
        <w:t xml:space="preserve">                  </w:t>
      </w:r>
      <w:r>
        <w:rPr>
          <w:rFonts w:hint="eastAsia" w:ascii="宋体" w:hAnsi="宋体"/>
        </w:rPr>
        <w:tab/>
      </w:r>
      <w:r>
        <w:rPr>
          <w:rFonts w:hint="eastAsia" w:ascii="宋体" w:hAnsi="宋体"/>
        </w:rPr>
        <w:t>法定地址：</w:t>
      </w:r>
      <w:r>
        <w:rPr>
          <w:rFonts w:hint="eastAsia" w:ascii="宋体" w:hAnsi="宋体"/>
          <w:u w:val="single"/>
        </w:rPr>
        <w:t xml:space="preserve">                    </w:t>
      </w:r>
    </w:p>
    <w:p w14:paraId="2F90E51C">
      <w:pPr>
        <w:tabs>
          <w:tab w:val="left" w:pos="4275"/>
        </w:tabs>
        <w:spacing w:line="400" w:lineRule="exact"/>
        <w:ind w:firstLine="420" w:firstLineChars="200"/>
        <w:rPr>
          <w:rFonts w:ascii="宋体" w:hAnsi="宋体"/>
        </w:rPr>
      </w:pPr>
      <w:r>
        <w:rPr>
          <w:rFonts w:hint="eastAsia" w:ascii="宋体" w:hAnsi="宋体"/>
        </w:rPr>
        <w:t>法定代表人或其                       法定代表人或其</w:t>
      </w:r>
    </w:p>
    <w:p w14:paraId="64B2343E">
      <w:pPr>
        <w:spacing w:after="360" w:afterLines="150" w:line="400" w:lineRule="exact"/>
        <w:ind w:firstLine="420" w:firstLineChars="200"/>
        <w:rPr>
          <w:rFonts w:ascii="宋体" w:hAnsi="宋体"/>
        </w:rPr>
      </w:pPr>
      <w:r>
        <w:rPr>
          <w:rFonts w:hint="eastAsia" w:ascii="宋体" w:hAnsi="宋体"/>
        </w:rPr>
        <w:t>委托代理人：</w:t>
      </w:r>
      <w:r>
        <w:rPr>
          <w:rFonts w:hint="eastAsia" w:ascii="宋体" w:hAnsi="宋体"/>
          <w:u w:val="single"/>
        </w:rPr>
        <w:t xml:space="preserve">            </w:t>
      </w:r>
      <w:r>
        <w:rPr>
          <w:rFonts w:hint="eastAsia" w:ascii="宋体" w:hAnsi="宋体"/>
        </w:rPr>
        <w:t>（签字）</w:t>
      </w:r>
      <w:r>
        <w:rPr>
          <w:rFonts w:hint="eastAsia" w:ascii="宋体" w:hAnsi="宋体"/>
        </w:rPr>
        <w:tab/>
      </w:r>
      <w:r>
        <w:rPr>
          <w:rFonts w:hint="eastAsia" w:ascii="宋体" w:hAnsi="宋体"/>
        </w:rPr>
        <w:t xml:space="preserve"> 委托代理人：</w:t>
      </w:r>
      <w:r>
        <w:rPr>
          <w:rFonts w:hint="eastAsia" w:ascii="宋体" w:hAnsi="宋体"/>
          <w:u w:val="single"/>
        </w:rPr>
        <w:t xml:space="preserve">             </w:t>
      </w:r>
      <w:r>
        <w:rPr>
          <w:rFonts w:hint="eastAsia" w:ascii="宋体" w:hAnsi="宋体"/>
        </w:rPr>
        <w:t>（签字）</w:t>
      </w:r>
    </w:p>
    <w:p w14:paraId="238B1CE5">
      <w:pPr>
        <w:tabs>
          <w:tab w:val="left" w:pos="4275"/>
        </w:tabs>
        <w:spacing w:line="480" w:lineRule="auto"/>
        <w:ind w:firstLine="420" w:firstLineChars="200"/>
        <w:rPr>
          <w:rFonts w:ascii="宋体" w:hAnsi="宋体"/>
        </w:rPr>
      </w:pPr>
      <w:r>
        <w:rPr>
          <w:rFonts w:hint="eastAsia" w:ascii="宋体" w:hAnsi="宋体"/>
        </w:rPr>
        <w:t>电话：</w:t>
      </w:r>
      <w:r>
        <w:rPr>
          <w:rFonts w:hint="eastAsia" w:ascii="宋体" w:hAnsi="宋体"/>
          <w:u w:val="single"/>
        </w:rPr>
        <w:t xml:space="preserve">                  </w:t>
      </w:r>
      <w:r>
        <w:rPr>
          <w:rFonts w:hint="eastAsia" w:ascii="宋体" w:hAnsi="宋体"/>
        </w:rPr>
        <w:tab/>
      </w:r>
      <w:r>
        <w:rPr>
          <w:rFonts w:hint="eastAsia" w:ascii="宋体" w:hAnsi="宋体"/>
        </w:rPr>
        <w:t>电话：</w:t>
      </w:r>
      <w:r>
        <w:rPr>
          <w:rFonts w:hint="eastAsia" w:ascii="宋体" w:hAnsi="宋体"/>
          <w:u w:val="single"/>
        </w:rPr>
        <w:t xml:space="preserve">                     </w:t>
      </w:r>
    </w:p>
    <w:p w14:paraId="2AE04606">
      <w:pPr>
        <w:tabs>
          <w:tab w:val="left" w:pos="4275"/>
        </w:tabs>
        <w:spacing w:line="480" w:lineRule="auto"/>
        <w:ind w:firstLine="420" w:firstLineChars="200"/>
        <w:rPr>
          <w:rFonts w:ascii="宋体" w:hAnsi="宋体"/>
        </w:rPr>
      </w:pPr>
      <w:r>
        <w:rPr>
          <w:rFonts w:hint="eastAsia" w:ascii="宋体" w:hAnsi="宋体"/>
        </w:rPr>
        <w:t>传真：</w:t>
      </w:r>
      <w:r>
        <w:rPr>
          <w:rFonts w:hint="eastAsia" w:ascii="宋体" w:hAnsi="宋体"/>
          <w:u w:val="single"/>
        </w:rPr>
        <w:t xml:space="preserve">                 </w:t>
      </w:r>
      <w:r>
        <w:rPr>
          <w:rFonts w:hint="eastAsia" w:ascii="宋体" w:hAnsi="宋体"/>
        </w:rPr>
        <w:tab/>
      </w:r>
      <w:r>
        <w:rPr>
          <w:rFonts w:hint="eastAsia" w:ascii="宋体" w:hAnsi="宋体"/>
        </w:rPr>
        <w:t>传真：</w:t>
      </w:r>
      <w:r>
        <w:rPr>
          <w:rFonts w:hint="eastAsia" w:ascii="宋体" w:hAnsi="宋体"/>
          <w:u w:val="single"/>
        </w:rPr>
        <w:t xml:space="preserve">  /                 </w:t>
      </w:r>
    </w:p>
    <w:p w14:paraId="78EB1CEF">
      <w:pPr>
        <w:tabs>
          <w:tab w:val="left" w:pos="4700"/>
        </w:tabs>
        <w:spacing w:line="480" w:lineRule="auto"/>
        <w:ind w:firstLine="420" w:firstLineChars="200"/>
        <w:rPr>
          <w:rFonts w:ascii="宋体" w:hAnsi="宋体"/>
        </w:rPr>
      </w:pPr>
      <w:r>
        <w:rPr>
          <w:rFonts w:hint="eastAsia" w:ascii="宋体" w:hAnsi="宋体"/>
        </w:rPr>
        <w:t>电子邮箱：</w:t>
      </w:r>
      <w:r>
        <w:rPr>
          <w:rFonts w:hint="eastAsia" w:ascii="宋体" w:hAnsi="宋体"/>
          <w:u w:val="single"/>
        </w:rPr>
        <w:t xml:space="preserve">  /              </w:t>
      </w:r>
      <w:r>
        <w:rPr>
          <w:rFonts w:hint="eastAsia" w:ascii="宋体" w:hAnsi="宋体"/>
        </w:rPr>
        <w:t xml:space="preserve">          电子邮箱：</w:t>
      </w:r>
      <w:r>
        <w:rPr>
          <w:rFonts w:hint="eastAsia" w:ascii="宋体" w:hAnsi="宋体"/>
          <w:u w:val="single"/>
        </w:rPr>
        <w:t xml:space="preserve"> /              </w:t>
      </w:r>
    </w:p>
    <w:p w14:paraId="6EC1E4F9">
      <w:pPr>
        <w:tabs>
          <w:tab w:val="left" w:pos="4275"/>
        </w:tabs>
        <w:spacing w:line="480" w:lineRule="auto"/>
        <w:ind w:firstLine="420" w:firstLineChars="200"/>
        <w:rPr>
          <w:rFonts w:ascii="宋体" w:hAnsi="宋体"/>
        </w:rPr>
      </w:pPr>
      <w:r>
        <w:rPr>
          <w:rFonts w:hint="eastAsia" w:ascii="宋体" w:hAnsi="宋体"/>
        </w:rPr>
        <w:t>开户银行：</w:t>
      </w:r>
      <w:r>
        <w:rPr>
          <w:rFonts w:hint="eastAsia" w:ascii="宋体" w:hAnsi="宋体"/>
          <w:u w:val="single"/>
        </w:rPr>
        <w:t xml:space="preserve">                 </w:t>
      </w:r>
      <w:r>
        <w:rPr>
          <w:rFonts w:hint="eastAsia" w:ascii="宋体" w:hAnsi="宋体"/>
        </w:rPr>
        <w:tab/>
      </w:r>
      <w:r>
        <w:rPr>
          <w:rFonts w:hint="eastAsia" w:ascii="宋体" w:hAnsi="宋体"/>
        </w:rPr>
        <w:t>开户银行：</w:t>
      </w:r>
      <w:r>
        <w:rPr>
          <w:rFonts w:hint="eastAsia" w:ascii="宋体" w:hAnsi="宋体"/>
          <w:u w:val="single"/>
        </w:rPr>
        <w:t xml:space="preserve">                </w:t>
      </w:r>
    </w:p>
    <w:p w14:paraId="1F7A10E1">
      <w:pPr>
        <w:tabs>
          <w:tab w:val="left" w:pos="4275"/>
        </w:tabs>
        <w:spacing w:line="480" w:lineRule="auto"/>
        <w:ind w:firstLine="420" w:firstLineChars="200"/>
        <w:rPr>
          <w:rFonts w:ascii="宋体" w:hAnsi="宋体"/>
        </w:rPr>
      </w:pPr>
      <w:r>
        <w:rPr>
          <w:rFonts w:hint="eastAsia" w:ascii="宋体" w:hAnsi="宋体"/>
        </w:rPr>
        <w:t>帐号：</w:t>
      </w:r>
      <w:r>
        <w:rPr>
          <w:rFonts w:hint="eastAsia" w:ascii="宋体" w:hAnsi="宋体"/>
          <w:u w:val="single"/>
        </w:rPr>
        <w:t xml:space="preserve">                     </w:t>
      </w:r>
      <w:r>
        <w:rPr>
          <w:rFonts w:hint="eastAsia" w:ascii="宋体" w:hAnsi="宋体"/>
        </w:rPr>
        <w:tab/>
      </w:r>
      <w:r>
        <w:rPr>
          <w:rFonts w:hint="eastAsia" w:ascii="宋体" w:hAnsi="宋体"/>
        </w:rPr>
        <w:t>帐号：</w:t>
      </w:r>
      <w:r>
        <w:rPr>
          <w:rFonts w:hint="eastAsia" w:ascii="宋体" w:hAnsi="宋体"/>
          <w:u w:val="single"/>
        </w:rPr>
        <w:t xml:space="preserve">                     </w:t>
      </w:r>
    </w:p>
    <w:p w14:paraId="28E65B49">
      <w:pPr>
        <w:pStyle w:val="30"/>
        <w:spacing w:line="480" w:lineRule="auto"/>
        <w:ind w:firstLine="420" w:firstLineChars="200"/>
        <w:rPr>
          <w:rFonts w:ascii="宋体" w:hAnsi="宋体"/>
        </w:rPr>
      </w:pPr>
      <w:r>
        <w:rPr>
          <w:rFonts w:hint="eastAsia" w:ascii="宋体" w:hAnsi="宋体"/>
          <w:sz w:val="21"/>
        </w:rPr>
        <w:t>邮政编码：</w:t>
      </w:r>
      <w:r>
        <w:rPr>
          <w:rFonts w:hint="eastAsia" w:ascii="宋体" w:hAnsi="宋体"/>
          <w:u w:val="single"/>
        </w:rPr>
        <w:t xml:space="preserve">                  </w:t>
      </w:r>
      <w:r>
        <w:rPr>
          <w:rFonts w:hint="eastAsia" w:ascii="宋体" w:hAnsi="宋体"/>
        </w:rPr>
        <w:t xml:space="preserve">     </w:t>
      </w:r>
      <w:r>
        <w:rPr>
          <w:rFonts w:hint="eastAsia" w:ascii="宋体" w:hAnsi="宋体"/>
          <w:sz w:val="21"/>
        </w:rPr>
        <w:t>邮政编码：</w:t>
      </w:r>
      <w:r>
        <w:rPr>
          <w:rFonts w:hint="eastAsia" w:ascii="宋体" w:hAnsi="宋体"/>
          <w:u w:val="single"/>
        </w:rPr>
        <w:t xml:space="preserve">                </w:t>
      </w:r>
      <w:r>
        <w:rPr>
          <w:rFonts w:ascii="宋体" w:hAnsi="宋体"/>
        </w:rPr>
        <w:t xml:space="preserve"> </w:t>
      </w:r>
    </w:p>
    <w:p w14:paraId="2848C74D">
      <w:pPr>
        <w:pStyle w:val="172"/>
        <w:rPr>
          <w:rFonts w:ascii="宋体" w:hAnsi="宋体" w:eastAsia="宋体"/>
        </w:rPr>
      </w:pPr>
      <w:r>
        <w:rPr>
          <w:rFonts w:ascii="宋体" w:hAnsi="宋体" w:eastAsia="宋体"/>
        </w:rPr>
        <w:br w:type="page"/>
      </w:r>
      <w:bookmarkStart w:id="2424" w:name="_Toc488224410"/>
      <w:bookmarkStart w:id="2425" w:name="_Toc241459758"/>
      <w:bookmarkStart w:id="2426" w:name="_Toc342296517"/>
      <w:bookmarkStart w:id="2427" w:name="_Toc111445503"/>
      <w:r>
        <w:rPr>
          <w:rFonts w:hint="eastAsia" w:ascii="宋体" w:hAnsi="宋体" w:eastAsia="宋体"/>
        </w:rPr>
        <w:t>附件二：廉政责任书格式</w:t>
      </w:r>
      <w:bookmarkEnd w:id="2424"/>
      <w:bookmarkEnd w:id="2425"/>
      <w:bookmarkEnd w:id="2426"/>
    </w:p>
    <w:p w14:paraId="0B12AF44">
      <w:pPr>
        <w:ind w:firstLine="488"/>
        <w:jc w:val="center"/>
        <w:rPr>
          <w:rFonts w:ascii="宋体" w:hAnsi="宋体"/>
        </w:rPr>
      </w:pPr>
    </w:p>
    <w:bookmarkEnd w:id="2427"/>
    <w:p w14:paraId="5F8837C5">
      <w:pPr>
        <w:shd w:val="clear" w:color="000000" w:fill="FFFFFF"/>
        <w:spacing w:line="360" w:lineRule="auto"/>
        <w:ind w:left="480"/>
        <w:jc w:val="center"/>
        <w:rPr>
          <w:rFonts w:ascii="宋体" w:hAnsi="宋体"/>
          <w:b/>
          <w:sz w:val="36"/>
        </w:rPr>
      </w:pPr>
      <w:r>
        <w:rPr>
          <w:rFonts w:ascii="宋体" w:hAnsi="宋体"/>
          <w:b/>
          <w:sz w:val="36"/>
        </w:rPr>
        <w:t>廉政合同书</w:t>
      </w:r>
    </w:p>
    <w:p w14:paraId="07D07037">
      <w:pPr>
        <w:shd w:val="clear" w:color="000000" w:fill="FFFFFF"/>
        <w:spacing w:line="360" w:lineRule="auto"/>
        <w:rPr>
          <w:rFonts w:ascii="宋体" w:hAnsi="宋体"/>
          <w:sz w:val="24"/>
        </w:rPr>
      </w:pPr>
    </w:p>
    <w:p w14:paraId="626D93D1">
      <w:pPr>
        <w:shd w:val="clear" w:color="000000" w:fill="FFFFFF"/>
        <w:spacing w:line="360" w:lineRule="auto"/>
        <w:rPr>
          <w:rFonts w:asciiTheme="minorEastAsia" w:hAnsiTheme="minorEastAsia" w:eastAsiaTheme="minorEastAsia"/>
          <w:sz w:val="28"/>
          <w:szCs w:val="28"/>
          <w:u w:val="single"/>
        </w:rPr>
      </w:pPr>
      <w:r>
        <w:rPr>
          <w:rFonts w:asciiTheme="minorEastAsia" w:hAnsiTheme="minorEastAsia" w:eastAsiaTheme="minorEastAsia"/>
          <w:b/>
          <w:sz w:val="28"/>
          <w:szCs w:val="28"/>
        </w:rPr>
        <w:t>甲方（委托方）</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p>
    <w:p w14:paraId="20CCAEB7">
      <w:pPr>
        <w:shd w:val="clear" w:color="000000" w:fill="FFFFFF"/>
        <w:spacing w:line="360" w:lineRule="auto"/>
        <w:rPr>
          <w:rFonts w:asciiTheme="minorEastAsia" w:hAnsiTheme="minorEastAsia" w:eastAsiaTheme="minorEastAsia"/>
          <w:sz w:val="28"/>
          <w:szCs w:val="28"/>
        </w:rPr>
      </w:pPr>
      <w:r>
        <w:rPr>
          <w:rFonts w:asciiTheme="minorEastAsia" w:hAnsiTheme="minorEastAsia" w:eastAsiaTheme="minorEastAsia"/>
          <w:b/>
          <w:sz w:val="28"/>
          <w:szCs w:val="28"/>
        </w:rPr>
        <w:t>地址</w:t>
      </w:r>
      <w:r>
        <w:rPr>
          <w:rFonts w:asciiTheme="minorEastAsia" w:hAnsiTheme="minorEastAsia" w:eastAsiaTheme="minorEastAsia"/>
          <w:sz w:val="28"/>
          <w:szCs w:val="28"/>
        </w:rPr>
        <w:t xml:space="preserve">： </w:t>
      </w:r>
    </w:p>
    <w:p w14:paraId="67576AA2">
      <w:pPr>
        <w:shd w:val="clear" w:color="000000" w:fill="FFFFFF"/>
        <w:spacing w:line="360" w:lineRule="auto"/>
        <w:rPr>
          <w:rFonts w:asciiTheme="minorEastAsia" w:hAnsiTheme="minorEastAsia" w:eastAsiaTheme="minorEastAsia"/>
          <w:sz w:val="28"/>
          <w:szCs w:val="28"/>
          <w:u w:val="single"/>
        </w:rPr>
      </w:pPr>
      <w:r>
        <w:rPr>
          <w:rFonts w:asciiTheme="minorEastAsia" w:hAnsiTheme="minorEastAsia" w:eastAsiaTheme="minorEastAsia"/>
          <w:b/>
          <w:sz w:val="28"/>
          <w:szCs w:val="28"/>
        </w:rPr>
        <w:t>乙方（受托方）</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p>
    <w:p w14:paraId="1FA2C5FC">
      <w:pPr>
        <w:shd w:val="clear" w:color="000000" w:fill="FFFFFF"/>
        <w:spacing w:line="360" w:lineRule="auto"/>
        <w:rPr>
          <w:rFonts w:asciiTheme="minorEastAsia" w:hAnsiTheme="minorEastAsia" w:eastAsiaTheme="minorEastAsia"/>
          <w:sz w:val="28"/>
          <w:szCs w:val="28"/>
        </w:rPr>
      </w:pPr>
      <w:r>
        <w:rPr>
          <w:rFonts w:asciiTheme="minorEastAsia" w:hAnsiTheme="minorEastAsia" w:eastAsiaTheme="minorEastAsia"/>
          <w:b/>
          <w:sz w:val="28"/>
          <w:szCs w:val="28"/>
        </w:rPr>
        <w:t>地址</w:t>
      </w:r>
      <w:r>
        <w:rPr>
          <w:rFonts w:asciiTheme="minorEastAsia" w:hAnsiTheme="minorEastAsia" w:eastAsiaTheme="minorEastAsia"/>
          <w:sz w:val="28"/>
          <w:szCs w:val="28"/>
        </w:rPr>
        <w:t xml:space="preserve">： </w:t>
      </w:r>
    </w:p>
    <w:p w14:paraId="4292150F">
      <w:pPr>
        <w:shd w:val="clear" w:color="000000" w:fill="FFFFFF"/>
        <w:spacing w:line="360" w:lineRule="auto"/>
        <w:rPr>
          <w:rFonts w:asciiTheme="minorEastAsia" w:hAnsiTheme="minorEastAsia" w:eastAsiaTheme="minorEastAsia"/>
          <w:sz w:val="28"/>
          <w:szCs w:val="28"/>
          <w:u w:val="single"/>
        </w:rPr>
      </w:pPr>
    </w:p>
    <w:p w14:paraId="793EC958">
      <w:pPr>
        <w:shd w:val="clear" w:color="000000" w:fill="FFFFFF"/>
        <w:spacing w:line="440" w:lineRule="exact"/>
        <w:ind w:firstLine="560" w:firstLineChars="200"/>
        <w:rPr>
          <w:rFonts w:asciiTheme="minorEastAsia" w:hAnsiTheme="minorEastAsia" w:eastAsiaTheme="minorEastAsia"/>
          <w:sz w:val="28"/>
          <w:szCs w:val="28"/>
        </w:rPr>
      </w:pPr>
      <w:r>
        <w:rPr>
          <w:rFonts w:hint="eastAsia" w:ascii="宋体" w:hAnsi="宋体"/>
          <w:sz w:val="28"/>
        </w:rPr>
        <w:t>甲方与乙方于</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hint="eastAsia" w:ascii="宋体" w:hAnsi="宋体"/>
          <w:sz w:val="28"/>
        </w:rPr>
        <w:t>日签订了</w:t>
      </w:r>
      <w:r>
        <w:rPr>
          <w:rFonts w:hint="eastAsia" w:ascii="宋体" w:hAnsi="宋体" w:cs="宋体"/>
          <w:kern w:val="0"/>
          <w:sz w:val="28"/>
          <w:u w:val="single"/>
          <w:lang w:val="zh-CN"/>
        </w:rPr>
        <w:t>《</w:t>
      </w:r>
      <w:r>
        <w:rPr>
          <w:rFonts w:hint="eastAsia" w:ascii="宋体" w:hAnsi="宋体" w:cs="宋体"/>
          <w:kern w:val="0"/>
          <w:sz w:val="28"/>
          <w:u w:val="single"/>
          <w:lang w:eastAsia="zh-Hans"/>
        </w:rPr>
        <w:t>工程施工承包</w:t>
      </w:r>
      <w:r>
        <w:rPr>
          <w:rFonts w:hint="eastAsia" w:ascii="宋体" w:hAnsi="宋体" w:cs="宋体"/>
          <w:kern w:val="0"/>
          <w:sz w:val="28"/>
          <w:u w:val="single"/>
          <w:lang w:val="zh-CN"/>
        </w:rPr>
        <w:t>合同》（合同编号：</w:t>
      </w:r>
      <w:r>
        <w:rPr>
          <w:rFonts w:ascii="宋体" w:hAnsi="宋体" w:cs="宋体"/>
          <w:kern w:val="0"/>
          <w:sz w:val="28"/>
          <w:u w:val="single"/>
        </w:rPr>
        <w:t xml:space="preserve">           </w:t>
      </w:r>
      <w:r>
        <w:rPr>
          <w:rFonts w:hint="eastAsia" w:ascii="宋体" w:hAnsi="宋体" w:cs="宋体"/>
          <w:kern w:val="0"/>
          <w:sz w:val="28"/>
          <w:u w:val="single"/>
          <w:lang w:val="zh-CN"/>
        </w:rPr>
        <w:t xml:space="preserve">         ）</w:t>
      </w:r>
      <w:r>
        <w:rPr>
          <w:rFonts w:hint="eastAsia" w:ascii="宋体" w:hAnsi="宋体"/>
          <w:sz w:val="28"/>
        </w:rPr>
        <w:t>。</w:t>
      </w:r>
      <w:r>
        <w:rPr>
          <w:rFonts w:asciiTheme="minorEastAsia" w:hAnsiTheme="minorEastAsia" w:eastAsiaTheme="minorEastAsia"/>
          <w:sz w:val="28"/>
          <w:szCs w:val="28"/>
        </w:rPr>
        <w:t>为加强廉政建设，规范</w:t>
      </w:r>
      <w:r>
        <w:rPr>
          <w:rFonts w:hint="eastAsia" w:asciiTheme="minorEastAsia" w:hAnsiTheme="minorEastAsia" w:eastAsiaTheme="minorEastAsia"/>
          <w:sz w:val="28"/>
          <w:szCs w:val="28"/>
        </w:rPr>
        <w:t>采购活动</w:t>
      </w:r>
      <w:r>
        <w:rPr>
          <w:rFonts w:asciiTheme="minorEastAsia" w:hAnsiTheme="minorEastAsia" w:eastAsiaTheme="minorEastAsia"/>
          <w:sz w:val="28"/>
          <w:szCs w:val="28"/>
        </w:rPr>
        <w:t>过程中甲乙双方的各项活动，防止发生任何谋取不正当利益的违法违纪行为，保护国家、集体和当事人的合法权益，根据国家有关法律法规和廉政建设规定，订立本廉政合同书。</w:t>
      </w:r>
    </w:p>
    <w:p w14:paraId="78BF408F">
      <w:pPr>
        <w:shd w:val="clear" w:color="000000" w:fill="FFFFFF"/>
        <w:spacing w:line="440" w:lineRule="exact"/>
        <w:rPr>
          <w:rFonts w:asciiTheme="minorEastAsia" w:hAnsiTheme="minorEastAsia" w:eastAsiaTheme="minorEastAsia"/>
          <w:b/>
          <w:bCs/>
          <w:sz w:val="28"/>
          <w:szCs w:val="28"/>
        </w:rPr>
      </w:pPr>
      <w:r>
        <w:rPr>
          <w:rFonts w:asciiTheme="minorEastAsia" w:hAnsiTheme="minorEastAsia" w:eastAsiaTheme="minorEastAsia"/>
          <w:b/>
          <w:bCs/>
          <w:sz w:val="28"/>
          <w:szCs w:val="28"/>
        </w:rPr>
        <w:t>1.双方的责任</w:t>
      </w:r>
    </w:p>
    <w:p w14:paraId="5C1C9712">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1.1 严格执行合同文件，按照合同约定履行各自的权利和义务。</w:t>
      </w:r>
    </w:p>
    <w:p w14:paraId="4FDC87BF">
      <w:pPr>
        <w:shd w:val="clear" w:color="000000" w:fill="FFFFFF"/>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w:t>
      </w:r>
      <w:r>
        <w:rPr>
          <w:rFonts w:asciiTheme="minorEastAsia" w:hAnsiTheme="minorEastAsia" w:eastAsiaTheme="minorEastAsia"/>
          <w:sz w:val="28"/>
          <w:szCs w:val="28"/>
        </w:rPr>
        <w:t>应严格遵守国家关于市场准入、招标投标</w:t>
      </w:r>
      <w:r>
        <w:rPr>
          <w:rFonts w:hint="eastAsia" w:asciiTheme="minorEastAsia" w:hAnsiTheme="minorEastAsia" w:eastAsiaTheme="minorEastAsia"/>
          <w:sz w:val="28"/>
          <w:szCs w:val="28"/>
        </w:rPr>
        <w:t>、政府采购</w:t>
      </w:r>
      <w:r>
        <w:rPr>
          <w:rFonts w:asciiTheme="minorEastAsia" w:hAnsiTheme="minorEastAsia" w:eastAsiaTheme="minorEastAsia"/>
          <w:sz w:val="28"/>
          <w:szCs w:val="28"/>
        </w:rPr>
        <w:t>等有关法律、法规、相关政策，以及有关廉政建设的各项规定。</w:t>
      </w:r>
    </w:p>
    <w:p w14:paraId="5A508E0A">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1.3 必须坚持公开、公平、公正、诚信、透明的原则，不得以任何方式获取不正当的利益，损害国家、集体和第三方合法权益，不得违反</w:t>
      </w:r>
      <w:r>
        <w:rPr>
          <w:rFonts w:hint="eastAsia" w:asciiTheme="minorEastAsia" w:hAnsiTheme="minorEastAsia" w:eastAsiaTheme="minorEastAsia"/>
          <w:sz w:val="28"/>
          <w:szCs w:val="28"/>
        </w:rPr>
        <w:t>相关的</w:t>
      </w:r>
      <w:r>
        <w:rPr>
          <w:rFonts w:asciiTheme="minorEastAsia" w:hAnsiTheme="minorEastAsia" w:eastAsiaTheme="minorEastAsia"/>
          <w:sz w:val="28"/>
          <w:szCs w:val="28"/>
        </w:rPr>
        <w:t>管理规章制度。</w:t>
      </w:r>
    </w:p>
    <w:p w14:paraId="5F6605CD">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1.4</w:t>
      </w:r>
      <w:r>
        <w:rPr>
          <w:rFonts w:hint="eastAsia" w:asciiTheme="minorEastAsia" w:hAnsiTheme="minorEastAsia" w:eastAsiaTheme="minorEastAsia"/>
          <w:sz w:val="28"/>
          <w:szCs w:val="28"/>
        </w:rPr>
        <w:t xml:space="preserve"> 受托</w:t>
      </w:r>
      <w:r>
        <w:rPr>
          <w:rFonts w:asciiTheme="minorEastAsia" w:hAnsiTheme="minorEastAsia" w:eastAsiaTheme="minorEastAsia"/>
          <w:sz w:val="28"/>
          <w:szCs w:val="28"/>
        </w:rPr>
        <w:t>方必须在受托方领导层指定廉政责任负责人，确定廉政建设联系人，做到定人定位，及时沟通处理违规事项。</w:t>
      </w:r>
    </w:p>
    <w:p w14:paraId="67F96016">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 xml:space="preserve">1.5 </w:t>
      </w:r>
      <w:r>
        <w:rPr>
          <w:rFonts w:hint="eastAsia" w:asciiTheme="minorEastAsia" w:hAnsiTheme="minorEastAsia" w:eastAsiaTheme="minorEastAsia"/>
          <w:sz w:val="28"/>
          <w:szCs w:val="28"/>
        </w:rPr>
        <w:t>受托</w:t>
      </w:r>
      <w:r>
        <w:rPr>
          <w:rFonts w:asciiTheme="minorEastAsia" w:hAnsiTheme="minorEastAsia" w:eastAsiaTheme="minorEastAsia"/>
          <w:sz w:val="28"/>
          <w:szCs w:val="28"/>
        </w:rPr>
        <w:t>方发现另一方在业务活动中有违规、违纪、违法行为的，应及时提醒对方，情节严重的，应向其上级主管部门或纪检监察、司法等有关机关举报。</w:t>
      </w:r>
    </w:p>
    <w:p w14:paraId="64E82B4B">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 xml:space="preserve">1.6 </w:t>
      </w:r>
      <w:r>
        <w:rPr>
          <w:rFonts w:hint="eastAsia" w:asciiTheme="minorEastAsia" w:hAnsiTheme="minorEastAsia" w:eastAsiaTheme="minorEastAsia"/>
          <w:sz w:val="28"/>
          <w:szCs w:val="28"/>
        </w:rPr>
        <w:t>委托方</w:t>
      </w:r>
      <w:r>
        <w:rPr>
          <w:rFonts w:asciiTheme="minorEastAsia" w:hAnsiTheme="minorEastAsia" w:eastAsiaTheme="minorEastAsia"/>
          <w:sz w:val="28"/>
          <w:szCs w:val="28"/>
        </w:rPr>
        <w:t>指定单位纪委书记</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为廉政负责人，联系电话：</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，电子邮箱：</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；纪检监察工作人员</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为廉政监督协调联系人，</w:t>
      </w:r>
    </w:p>
    <w:p w14:paraId="39D1CD63">
      <w:pPr>
        <w:shd w:val="clear" w:color="000000" w:fill="FFFFFF"/>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联系电话：</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，电子邮箱：</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w:t>
      </w:r>
    </w:p>
    <w:p w14:paraId="40C13372">
      <w:pPr>
        <w:shd w:val="clear" w:color="000000" w:fill="FFFFFF"/>
        <w:spacing w:line="440" w:lineRule="exact"/>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受托方</w:t>
      </w:r>
      <w:r>
        <w:rPr>
          <w:rFonts w:asciiTheme="minorEastAsia" w:hAnsiTheme="minorEastAsia" w:eastAsiaTheme="minorEastAsia"/>
          <w:color w:val="000000" w:themeColor="text1"/>
          <w:sz w:val="28"/>
          <w:szCs w:val="28"/>
          <w14:textFill>
            <w14:solidFill>
              <w14:schemeClr w14:val="tx1"/>
            </w14:solidFill>
          </w14:textFill>
        </w:rPr>
        <w:t>指定单位领导</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为廉政负责人，联系电话</w:t>
      </w:r>
      <w:r>
        <w:rPr>
          <w:rFonts w:hint="eastAsia" w:asciiTheme="minorEastAsia" w:hAnsiTheme="minorEastAsia" w:eastAsiaTheme="minorEastAsia"/>
          <w:color w:val="000000" w:themeColor="text1"/>
          <w:sz w:val="28"/>
          <w:szCs w:val="28"/>
          <w14:textFill>
            <w14:solidFill>
              <w14:schemeClr w14:val="tx1"/>
            </w14:solidFill>
          </w14:textFill>
        </w:rPr>
        <w:t>：</w:t>
      </w:r>
      <w:r>
        <w:rPr>
          <w:rFonts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电子邮箱：</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仿宋" w:hAnsi="仿宋" w:eastAsia="仿宋"/>
          <w:color w:val="000000"/>
          <w:kern w:val="0"/>
          <w:sz w:val="28"/>
          <w:szCs w:val="28"/>
          <w:u w:val="single"/>
          <w:lang w:bidi="ar"/>
        </w:rPr>
        <w:t xml:space="preserve"> </w:t>
      </w:r>
      <w:r>
        <w:rPr>
          <w:rFonts w:ascii="仿宋" w:hAnsi="仿宋" w:eastAsia="仿宋"/>
          <w:color w:val="000000"/>
          <w:kern w:val="0"/>
          <w:sz w:val="28"/>
          <w:szCs w:val="28"/>
          <w:u w:val="single"/>
          <w:lang w:bidi="ar"/>
        </w:rPr>
        <w:t xml:space="preserve">         </w:t>
      </w:r>
      <w:r>
        <w:rPr>
          <w:rFonts w:asciiTheme="minorEastAsia" w:hAnsiTheme="minorEastAsia" w:eastAsiaTheme="minorEastAsia"/>
          <w:color w:val="000000" w:themeColor="text1"/>
          <w:sz w:val="28"/>
          <w:szCs w:val="28"/>
          <w14:textFill>
            <w14:solidFill>
              <w14:schemeClr w14:val="tx1"/>
            </w14:solidFill>
          </w14:textFill>
        </w:rPr>
        <w:t>；公司纪检监察工作人员</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为廉政监督协调联系人，联系电话：</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asciiTheme="minorEastAsia" w:hAnsiTheme="minorEastAsia" w:eastAsiaTheme="minorEastAsia"/>
          <w:color w:val="000000" w:themeColor="text1"/>
          <w:sz w:val="28"/>
          <w:szCs w:val="28"/>
          <w:u w:val="single"/>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，电子邮箱：</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ascii="仿宋" w:hAnsi="仿宋" w:eastAsia="仿宋"/>
          <w:color w:val="000000"/>
          <w:kern w:val="0"/>
          <w:sz w:val="28"/>
          <w:szCs w:val="28"/>
          <w:u w:val="single"/>
          <w:lang w:bidi="ar"/>
        </w:rPr>
        <w:t xml:space="preserve">    </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p>
    <w:p w14:paraId="4EDF6625">
      <w:pPr>
        <w:shd w:val="clear" w:color="000000" w:fill="FFFFFF"/>
        <w:spacing w:line="440" w:lineRule="exact"/>
        <w:rPr>
          <w:rFonts w:asciiTheme="minorEastAsia" w:hAnsiTheme="minorEastAsia" w:eastAsiaTheme="minorEastAsia"/>
          <w:b/>
          <w:bCs/>
          <w:sz w:val="28"/>
          <w:szCs w:val="28"/>
        </w:rPr>
      </w:pPr>
      <w:r>
        <w:rPr>
          <w:rFonts w:asciiTheme="minorEastAsia" w:hAnsiTheme="minorEastAsia" w:eastAsiaTheme="minorEastAsia"/>
          <w:b/>
          <w:bCs/>
          <w:sz w:val="28"/>
          <w:szCs w:val="28"/>
        </w:rPr>
        <w:t>2.委托方的责任</w:t>
      </w:r>
    </w:p>
    <w:p w14:paraId="6B5E6916">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委托方的领导和工作人员在</w:t>
      </w:r>
      <w:r>
        <w:rPr>
          <w:rFonts w:hint="eastAsia" w:asciiTheme="minorEastAsia" w:hAnsiTheme="minorEastAsia" w:eastAsiaTheme="minorEastAsia"/>
          <w:sz w:val="28"/>
          <w:szCs w:val="28"/>
        </w:rPr>
        <w:t>采购活动过程中，合同执行</w:t>
      </w:r>
      <w:r>
        <w:rPr>
          <w:rFonts w:asciiTheme="minorEastAsia" w:hAnsiTheme="minorEastAsia" w:eastAsiaTheme="minorEastAsia"/>
          <w:sz w:val="28"/>
          <w:szCs w:val="28"/>
        </w:rPr>
        <w:t>事前、事中、事后应遵守以下规定：</w:t>
      </w:r>
    </w:p>
    <w:p w14:paraId="1FF2746B">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2.1 不准向受托方和相关单位索要或接受回扣、礼金、有价证券、贵重物品和好处费、感谢费等。</w:t>
      </w:r>
    </w:p>
    <w:p w14:paraId="3368F76D">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2.2不准在受托方和相关单位报销任何应由委托方或个人支付的费用。</w:t>
      </w:r>
    </w:p>
    <w:p w14:paraId="5CE8E02C">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 xml:space="preserve">2.3 </w:t>
      </w:r>
      <w:r>
        <w:rPr>
          <w:rFonts w:hint="eastAsia" w:asciiTheme="minorEastAsia" w:hAnsiTheme="minorEastAsia" w:eastAsiaTheme="minorEastAsia"/>
          <w:sz w:val="28"/>
          <w:szCs w:val="28"/>
        </w:rPr>
        <w:t>不准要求、暗示或接受受托方和相关单位为个人装修住房、婚丧嫁娶、配偶子女的工作安排以及出国(境) 、旅游等提供方便。</w:t>
      </w:r>
    </w:p>
    <w:p w14:paraId="6CECCE13">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2.4 不准参加有可能影响公正执行公务的受托方和相关单位的宴请、健身、娱乐等活动。</w:t>
      </w:r>
    </w:p>
    <w:p w14:paraId="53AAA3CA">
      <w:pPr>
        <w:shd w:val="clear" w:color="000000" w:fill="FFFFFF"/>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2.5 </w:t>
      </w:r>
      <w:r>
        <w:rPr>
          <w:rFonts w:asciiTheme="minorEastAsia" w:hAnsiTheme="minorEastAsia" w:eastAsiaTheme="minorEastAsia"/>
          <w:sz w:val="28"/>
          <w:szCs w:val="28"/>
        </w:rPr>
        <w:t>不准向受托方和相关单位介绍或为配偶、子女、亲属参与合同有关的</w:t>
      </w:r>
      <w:r>
        <w:rPr>
          <w:rFonts w:hint="eastAsia" w:asciiTheme="minorEastAsia" w:hAnsiTheme="minorEastAsia" w:eastAsiaTheme="minorEastAsia"/>
          <w:sz w:val="28"/>
          <w:szCs w:val="28"/>
        </w:rPr>
        <w:t>采购、服务</w:t>
      </w:r>
      <w:r>
        <w:rPr>
          <w:rFonts w:asciiTheme="minorEastAsia" w:hAnsiTheme="minorEastAsia" w:eastAsiaTheme="minorEastAsia"/>
          <w:sz w:val="28"/>
          <w:szCs w:val="28"/>
        </w:rPr>
        <w:t>等经济活动</w:t>
      </w:r>
      <w:r>
        <w:rPr>
          <w:rFonts w:hint="eastAsia" w:asciiTheme="minorEastAsia" w:hAnsiTheme="minorEastAsia" w:eastAsiaTheme="minorEastAsia"/>
          <w:sz w:val="28"/>
          <w:szCs w:val="28"/>
        </w:rPr>
        <w:t>；</w:t>
      </w:r>
      <w:r>
        <w:rPr>
          <w:rFonts w:asciiTheme="minorEastAsia" w:hAnsiTheme="minorEastAsia" w:eastAsiaTheme="minorEastAsia"/>
          <w:sz w:val="28"/>
          <w:szCs w:val="28"/>
        </w:rPr>
        <w:t>不得以任何理由向受托方和相关单位推荐</w:t>
      </w:r>
      <w:r>
        <w:rPr>
          <w:rFonts w:hint="eastAsia" w:asciiTheme="minorEastAsia" w:hAnsiTheme="minorEastAsia" w:eastAsiaTheme="minorEastAsia"/>
          <w:sz w:val="28"/>
          <w:szCs w:val="28"/>
        </w:rPr>
        <w:t>采购</w:t>
      </w:r>
      <w:r>
        <w:rPr>
          <w:rFonts w:asciiTheme="minorEastAsia" w:hAnsiTheme="minorEastAsia" w:eastAsiaTheme="minorEastAsia"/>
          <w:sz w:val="28"/>
          <w:szCs w:val="28"/>
        </w:rPr>
        <w:t>单位和要求购买与合同规定以外的</w:t>
      </w:r>
      <w:r>
        <w:rPr>
          <w:rFonts w:hint="eastAsia" w:asciiTheme="minorEastAsia" w:hAnsiTheme="minorEastAsia" w:eastAsiaTheme="minorEastAsia"/>
          <w:sz w:val="28"/>
          <w:szCs w:val="28"/>
        </w:rPr>
        <w:t>办公用品、</w:t>
      </w:r>
      <w:r>
        <w:rPr>
          <w:rFonts w:asciiTheme="minorEastAsia" w:hAnsiTheme="minorEastAsia" w:eastAsiaTheme="minorEastAsia"/>
          <w:sz w:val="28"/>
          <w:szCs w:val="28"/>
        </w:rPr>
        <w:t>材料、设备等。</w:t>
      </w:r>
    </w:p>
    <w:p w14:paraId="545A6402">
      <w:pPr>
        <w:shd w:val="clear" w:color="000000" w:fill="FFFFFF"/>
        <w:spacing w:line="440" w:lineRule="exact"/>
        <w:rPr>
          <w:rFonts w:asciiTheme="minorEastAsia" w:hAnsiTheme="minorEastAsia" w:eastAsiaTheme="minorEastAsia"/>
          <w:b/>
          <w:bCs/>
          <w:sz w:val="28"/>
          <w:szCs w:val="28"/>
        </w:rPr>
      </w:pPr>
      <w:r>
        <w:rPr>
          <w:rFonts w:asciiTheme="minorEastAsia" w:hAnsiTheme="minorEastAsia" w:eastAsiaTheme="minorEastAsia"/>
          <w:b/>
          <w:bCs/>
          <w:sz w:val="28"/>
          <w:szCs w:val="28"/>
        </w:rPr>
        <w:t>3.受托方的责任</w:t>
      </w:r>
    </w:p>
    <w:p w14:paraId="2ABB8296">
      <w:pPr>
        <w:shd w:val="clear" w:color="000000" w:fill="FFFFFF"/>
        <w:spacing w:line="440" w:lineRule="exact"/>
        <w:ind w:firstLine="420"/>
        <w:rPr>
          <w:rFonts w:asciiTheme="minorEastAsia" w:hAnsiTheme="minorEastAsia" w:eastAsiaTheme="minorEastAsia"/>
          <w:sz w:val="28"/>
          <w:szCs w:val="28"/>
        </w:rPr>
      </w:pPr>
      <w:r>
        <w:rPr>
          <w:rFonts w:asciiTheme="minorEastAsia" w:hAnsiTheme="minorEastAsia" w:eastAsiaTheme="minorEastAsia"/>
          <w:sz w:val="28"/>
          <w:szCs w:val="28"/>
        </w:rPr>
        <w:t>应与委托方和相关单位保持正常的业务交往，按照有关法律法规和程序开展业务工作，严格执行</w:t>
      </w:r>
      <w:r>
        <w:rPr>
          <w:rFonts w:hint="eastAsia" w:asciiTheme="minorEastAsia" w:hAnsiTheme="minorEastAsia" w:eastAsiaTheme="minorEastAsia"/>
          <w:sz w:val="28"/>
          <w:szCs w:val="28"/>
        </w:rPr>
        <w:t>国家</w:t>
      </w:r>
      <w:r>
        <w:rPr>
          <w:rFonts w:asciiTheme="minorEastAsia" w:hAnsiTheme="minorEastAsia" w:eastAsiaTheme="minorEastAsia"/>
          <w:sz w:val="28"/>
          <w:szCs w:val="28"/>
        </w:rPr>
        <w:t>方针、政策，执行</w:t>
      </w:r>
      <w:r>
        <w:rPr>
          <w:rFonts w:hint="eastAsia" w:asciiTheme="minorEastAsia" w:hAnsiTheme="minorEastAsia" w:eastAsiaTheme="minorEastAsia"/>
          <w:sz w:val="28"/>
          <w:szCs w:val="28"/>
        </w:rPr>
        <w:t>国家</w:t>
      </w:r>
      <w:r>
        <w:rPr>
          <w:rFonts w:asciiTheme="minorEastAsia" w:hAnsiTheme="minorEastAsia" w:eastAsiaTheme="minorEastAsia"/>
          <w:sz w:val="28"/>
          <w:szCs w:val="28"/>
        </w:rPr>
        <w:t>强制性标准和规范，</w:t>
      </w:r>
      <w:r>
        <w:rPr>
          <w:rFonts w:hint="eastAsia" w:asciiTheme="minorEastAsia" w:hAnsiTheme="minorEastAsia" w:eastAsiaTheme="minorEastAsia"/>
          <w:sz w:val="28"/>
          <w:szCs w:val="28"/>
        </w:rPr>
        <w:t>不从事任何形式的贿赂活动，不发生任何违法违规行为，</w:t>
      </w:r>
      <w:r>
        <w:rPr>
          <w:rFonts w:asciiTheme="minorEastAsia" w:hAnsiTheme="minorEastAsia" w:eastAsiaTheme="minorEastAsia"/>
          <w:sz w:val="28"/>
          <w:szCs w:val="28"/>
        </w:rPr>
        <w:t>并遵守以下规定：</w:t>
      </w:r>
    </w:p>
    <w:p w14:paraId="768D7082">
      <w:pPr>
        <w:shd w:val="clear" w:color="000000" w:fill="FFFFFF"/>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3.1公平参加本次采购活动，不实施任何损害委托方或其他参加方合法权益的行为，严格履行合同约定。</w:t>
      </w:r>
    </w:p>
    <w:p w14:paraId="2B221806">
      <w:pPr>
        <w:shd w:val="clear" w:color="000000" w:fill="FFFFFF"/>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3.2 不与</w:t>
      </w:r>
      <w:r>
        <w:rPr>
          <w:rFonts w:asciiTheme="minorEastAsia" w:hAnsiTheme="minorEastAsia" w:eastAsiaTheme="minorEastAsia"/>
          <w:sz w:val="28"/>
          <w:szCs w:val="28"/>
        </w:rPr>
        <w:t>委托方</w:t>
      </w:r>
      <w:r>
        <w:rPr>
          <w:rFonts w:hint="eastAsia" w:asciiTheme="minorEastAsia" w:hAnsiTheme="minorEastAsia" w:eastAsiaTheme="minorEastAsia"/>
          <w:sz w:val="28"/>
          <w:szCs w:val="28"/>
        </w:rPr>
        <w:t>工作人员单独接触，也不在非办公场所进行与本次采购活动、以及合同签订和执行有关的接触。</w:t>
      </w:r>
    </w:p>
    <w:p w14:paraId="56006E21">
      <w:pPr>
        <w:shd w:val="clear" w:color="000000" w:fill="FFFFFF"/>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3.3不向</w:t>
      </w:r>
      <w:r>
        <w:rPr>
          <w:rFonts w:asciiTheme="minorEastAsia" w:hAnsiTheme="minorEastAsia" w:eastAsiaTheme="minorEastAsia"/>
          <w:sz w:val="28"/>
          <w:szCs w:val="28"/>
        </w:rPr>
        <w:t>委托方</w:t>
      </w:r>
      <w:r>
        <w:rPr>
          <w:rFonts w:hint="eastAsia" w:asciiTheme="minorEastAsia" w:hAnsiTheme="minorEastAsia" w:eastAsiaTheme="minorEastAsia"/>
          <w:sz w:val="28"/>
          <w:szCs w:val="28"/>
        </w:rPr>
        <w:t>、监督机构、管理机构的工作人员及其亲属、评审专家及其亲属发出任何形式的宴请、娱乐、旅游等活动邀请。</w:t>
      </w:r>
    </w:p>
    <w:p w14:paraId="698DBA8F">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 xml:space="preserve">4 </w:t>
      </w:r>
      <w:r>
        <w:rPr>
          <w:rFonts w:asciiTheme="minorEastAsia" w:hAnsiTheme="minorEastAsia" w:eastAsiaTheme="minorEastAsia"/>
          <w:sz w:val="28"/>
          <w:szCs w:val="28"/>
        </w:rPr>
        <w:t>不准以任何理由向</w:t>
      </w:r>
      <w:r>
        <w:rPr>
          <w:rFonts w:hint="eastAsia" w:asciiTheme="minorEastAsia" w:hAnsiTheme="minorEastAsia" w:eastAsiaTheme="minorEastAsia"/>
          <w:sz w:val="28"/>
          <w:szCs w:val="28"/>
        </w:rPr>
        <w:t>委托方、监督机构、管理机构的工作人员及其亲属、评审专家及其亲属提供礼品礼金、有价证券、购物券/卡、会员卡、回扣、佣金、咨询费等。</w:t>
      </w:r>
    </w:p>
    <w:p w14:paraId="7D3AE03B">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5</w:t>
      </w:r>
      <w:r>
        <w:rPr>
          <w:rFonts w:asciiTheme="minorEastAsia" w:hAnsiTheme="minorEastAsia" w:eastAsiaTheme="minorEastAsia"/>
          <w:sz w:val="28"/>
          <w:szCs w:val="28"/>
        </w:rPr>
        <w:t xml:space="preserve"> 不准以任何理由</w:t>
      </w:r>
      <w:r>
        <w:rPr>
          <w:rFonts w:hint="eastAsia" w:asciiTheme="minorEastAsia" w:hAnsiTheme="minorEastAsia" w:eastAsiaTheme="minorEastAsia"/>
          <w:sz w:val="28"/>
          <w:szCs w:val="28"/>
        </w:rPr>
        <w:t>向委托方、监督机构、管理机构的工作人员及其亲属报销各种消费凭证，不支付其旅游、餐饮、娱乐、购物等费用。</w:t>
      </w:r>
    </w:p>
    <w:p w14:paraId="56B920EE">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6</w:t>
      </w:r>
      <w:r>
        <w:rPr>
          <w:rFonts w:asciiTheme="minorEastAsia" w:hAnsiTheme="minorEastAsia" w:eastAsiaTheme="minorEastAsia"/>
          <w:sz w:val="28"/>
          <w:szCs w:val="28"/>
        </w:rPr>
        <w:t xml:space="preserve"> 不准接受或暗示为委托方、相关单位或个人装修住房</w:t>
      </w:r>
      <w:r>
        <w:rPr>
          <w:rFonts w:hint="eastAsia" w:asciiTheme="minorEastAsia" w:hAnsiTheme="minorEastAsia" w:eastAsiaTheme="minorEastAsia"/>
          <w:sz w:val="28"/>
          <w:szCs w:val="28"/>
        </w:rPr>
        <w:t>，及在</w:t>
      </w:r>
      <w:r>
        <w:rPr>
          <w:rFonts w:asciiTheme="minorEastAsia" w:hAnsiTheme="minorEastAsia" w:eastAsiaTheme="minorEastAsia"/>
          <w:sz w:val="28"/>
          <w:szCs w:val="28"/>
        </w:rPr>
        <w:t>婚丧嫁娶、配偶子女的工作安排</w:t>
      </w:r>
      <w:r>
        <w:rPr>
          <w:rFonts w:hint="eastAsia" w:asciiTheme="minorEastAsia" w:hAnsiTheme="minorEastAsia" w:eastAsiaTheme="minorEastAsia"/>
          <w:sz w:val="28"/>
          <w:szCs w:val="28"/>
        </w:rPr>
        <w:t>、</w:t>
      </w:r>
      <w:r>
        <w:rPr>
          <w:rFonts w:asciiTheme="minorEastAsia" w:hAnsiTheme="minorEastAsia" w:eastAsiaTheme="minorEastAsia"/>
          <w:sz w:val="28"/>
          <w:szCs w:val="28"/>
        </w:rPr>
        <w:t>出国（境）、旅游等</w:t>
      </w:r>
      <w:r>
        <w:rPr>
          <w:rFonts w:hint="eastAsia" w:asciiTheme="minorEastAsia" w:hAnsiTheme="minorEastAsia" w:eastAsiaTheme="minorEastAsia"/>
          <w:sz w:val="28"/>
          <w:szCs w:val="28"/>
        </w:rPr>
        <w:t>方面</w:t>
      </w:r>
      <w:r>
        <w:rPr>
          <w:rFonts w:asciiTheme="minorEastAsia" w:hAnsiTheme="minorEastAsia" w:eastAsiaTheme="minorEastAsia"/>
          <w:sz w:val="28"/>
          <w:szCs w:val="28"/>
        </w:rPr>
        <w:t>提供方便。</w:t>
      </w:r>
    </w:p>
    <w:p w14:paraId="17314113">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7</w:t>
      </w:r>
      <w:r>
        <w:rPr>
          <w:rFonts w:asciiTheme="minorEastAsia" w:hAnsiTheme="minorEastAsia" w:eastAsiaTheme="minorEastAsia"/>
          <w:sz w:val="28"/>
          <w:szCs w:val="28"/>
        </w:rPr>
        <w:t xml:space="preserve"> 不准以任何理由为委托方、相关单位或个人组织有可能影响公正执行公务的宴请、健身、娱乐等活动。</w:t>
      </w:r>
      <w:r>
        <w:rPr>
          <w:rFonts w:asciiTheme="minorEastAsia" w:hAnsiTheme="minorEastAsia" w:eastAsiaTheme="minorEastAsia"/>
          <w:sz w:val="28"/>
          <w:szCs w:val="28"/>
        </w:rPr>
        <w:br w:type="textWrapping"/>
      </w:r>
      <w:r>
        <w:rPr>
          <w:rFonts w:asciiTheme="minorEastAsia" w:hAnsiTheme="minorEastAsia" w:eastAsiaTheme="minorEastAsia"/>
          <w:b/>
          <w:bCs/>
          <w:sz w:val="28"/>
          <w:szCs w:val="28"/>
        </w:rPr>
        <w:t>4.违约责任</w:t>
      </w:r>
    </w:p>
    <w:p w14:paraId="579A3DFB">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4.1 委托方工作人员</w:t>
      </w:r>
      <w:r>
        <w:rPr>
          <w:rFonts w:hint="eastAsia" w:asciiTheme="minorEastAsia" w:hAnsiTheme="minorEastAsia" w:eastAsiaTheme="minorEastAsia"/>
          <w:sz w:val="28"/>
          <w:szCs w:val="28"/>
        </w:rPr>
        <w:t>如</w:t>
      </w:r>
      <w:r>
        <w:rPr>
          <w:rFonts w:asciiTheme="minorEastAsia" w:hAnsiTheme="minorEastAsia" w:eastAsiaTheme="minorEastAsia"/>
          <w:sz w:val="28"/>
          <w:szCs w:val="28"/>
        </w:rPr>
        <w:t>有违反本合同书责任行为的，按照管理权限，依据有关法律法规和规定给予党纪、政纪处分或组织处理；涉嫌犯罪</w:t>
      </w:r>
      <w:r>
        <w:rPr>
          <w:rFonts w:hint="eastAsia" w:asciiTheme="minorEastAsia" w:hAnsiTheme="minorEastAsia" w:eastAsiaTheme="minorEastAsia"/>
          <w:sz w:val="28"/>
          <w:szCs w:val="28"/>
        </w:rPr>
        <w:t>的</w:t>
      </w:r>
      <w:r>
        <w:rPr>
          <w:rFonts w:asciiTheme="minorEastAsia" w:hAnsiTheme="minorEastAsia" w:eastAsiaTheme="minorEastAsia"/>
          <w:sz w:val="28"/>
          <w:szCs w:val="28"/>
        </w:rPr>
        <w:t>，移交司法机关追究刑事责任；给受托方单位造成经济损失的，应予以赔偿。</w:t>
      </w:r>
    </w:p>
    <w:p w14:paraId="5348BC58">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4.2 受托方工作人员有违反本合同书责任行为的，按照管理权限，依据有关法律法规和规定给予党纪、政纪处分或组织处理；涉嫌犯罪的，移交司法机关追究刑事责任；给委托方单位造成经济损失的，应予以赔偿。</w:t>
      </w:r>
    </w:p>
    <w:p w14:paraId="286E66F8">
      <w:pPr>
        <w:shd w:val="clear" w:color="000000" w:fill="FFFFFF"/>
        <w:spacing w:line="44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4.3 本合同书作为采购合同的组成部分，与采购合同具有同等法律效力</w:t>
      </w:r>
      <w:r>
        <w:rPr>
          <w:rFonts w:hint="eastAsia" w:asciiTheme="minorEastAsia" w:hAnsiTheme="minorEastAsia" w:eastAsiaTheme="minorEastAsia"/>
          <w:sz w:val="28"/>
          <w:szCs w:val="28"/>
        </w:rPr>
        <w:t>，</w:t>
      </w:r>
      <w:r>
        <w:rPr>
          <w:rFonts w:asciiTheme="minorEastAsia" w:hAnsiTheme="minorEastAsia" w:eastAsiaTheme="minorEastAsia"/>
          <w:sz w:val="28"/>
          <w:szCs w:val="28"/>
        </w:rPr>
        <w:t>经双方签署后立即生效。</w:t>
      </w:r>
    </w:p>
    <w:p w14:paraId="2E70FA42">
      <w:pPr>
        <w:shd w:val="clear" w:color="000000" w:fill="FFFFFF"/>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4.4 任何一方严重或多次违反合同约定，经提醒后仍继续违反，另一方可解除合同，并要求赔偿经济损失。</w:t>
      </w:r>
    </w:p>
    <w:p w14:paraId="3F3D785D">
      <w:pPr>
        <w:shd w:val="clear" w:color="000000" w:fill="FFFFFF"/>
        <w:spacing w:line="440" w:lineRule="exac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5</w:t>
      </w:r>
      <w:r>
        <w:rPr>
          <w:rFonts w:asciiTheme="minorEastAsia" w:hAnsiTheme="minorEastAsia" w:eastAsiaTheme="minorEastAsia"/>
          <w:b/>
          <w:bCs/>
          <w:sz w:val="28"/>
          <w:szCs w:val="28"/>
        </w:rPr>
        <w:t>.签署和生效</w:t>
      </w:r>
    </w:p>
    <w:p w14:paraId="343F5F14">
      <w:pPr>
        <w:shd w:val="clear" w:color="000000" w:fill="FFFFFF"/>
        <w:spacing w:line="44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本合同书一式</w:t>
      </w:r>
      <w:r>
        <w:rPr>
          <w:rFonts w:hint="eastAsia" w:asciiTheme="minorEastAsia" w:hAnsiTheme="minorEastAsia" w:eastAsiaTheme="minorEastAsia"/>
          <w:bCs/>
          <w:sz w:val="28"/>
          <w:szCs w:val="28"/>
        </w:rPr>
        <w:t>肆</w:t>
      </w:r>
      <w:r>
        <w:rPr>
          <w:rFonts w:asciiTheme="minorEastAsia" w:hAnsiTheme="minorEastAsia" w:eastAsiaTheme="minorEastAsia"/>
          <w:bCs/>
          <w:sz w:val="28"/>
          <w:szCs w:val="28"/>
        </w:rPr>
        <w:t>份，由双方各执</w:t>
      </w:r>
      <w:r>
        <w:rPr>
          <w:rFonts w:hint="eastAsia" w:asciiTheme="minorEastAsia" w:hAnsiTheme="minorEastAsia" w:eastAsiaTheme="minorEastAsia"/>
          <w:bCs/>
          <w:sz w:val="28"/>
          <w:szCs w:val="28"/>
        </w:rPr>
        <w:t>贰</w:t>
      </w:r>
      <w:r>
        <w:rPr>
          <w:rFonts w:asciiTheme="minorEastAsia" w:hAnsiTheme="minorEastAsia" w:eastAsiaTheme="minorEastAsia"/>
          <w:bCs/>
          <w:sz w:val="28"/>
          <w:szCs w:val="28"/>
        </w:rPr>
        <w:t>份，经双方签字盖章后生效。</w:t>
      </w:r>
    </w:p>
    <w:p w14:paraId="7E2F4D31">
      <w:pPr>
        <w:shd w:val="clear" w:color="000000" w:fill="FFFFFF"/>
        <w:spacing w:line="440" w:lineRule="exact"/>
        <w:ind w:left="480"/>
        <w:rPr>
          <w:rFonts w:asciiTheme="minorEastAsia" w:hAnsiTheme="minorEastAsia" w:eastAsiaTheme="minorEastAsia"/>
          <w:sz w:val="28"/>
          <w:szCs w:val="28"/>
        </w:rPr>
      </w:pPr>
    </w:p>
    <w:tbl>
      <w:tblPr>
        <w:tblStyle w:val="68"/>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219"/>
        <w:gridCol w:w="284"/>
        <w:gridCol w:w="4025"/>
      </w:tblGrid>
      <w:tr w14:paraId="482535A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99" w:hRule="exact"/>
        </w:trPr>
        <w:tc>
          <w:tcPr>
            <w:tcW w:w="4219" w:type="dxa"/>
          </w:tcPr>
          <w:p w14:paraId="77B14337">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甲方（盖章）：</w:t>
            </w:r>
          </w:p>
          <w:p w14:paraId="666C7CE7">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 xml:space="preserve">地址： </w:t>
            </w:r>
          </w:p>
          <w:p w14:paraId="6B00A7B8">
            <w:pPr>
              <w:spacing w:line="440" w:lineRule="exact"/>
              <w:rPr>
                <w:rFonts w:ascii="宋体" w:hAnsi="宋体"/>
                <w:sz w:val="28"/>
                <w:szCs w:val="28"/>
              </w:rPr>
            </w:pPr>
            <w:r>
              <w:rPr>
                <w:rFonts w:ascii="宋体" w:hAnsi="宋体"/>
                <w:sz w:val="28"/>
                <w:szCs w:val="28"/>
              </w:rPr>
              <w:t>法定代表人</w:t>
            </w:r>
            <w:r>
              <w:rPr>
                <w:rFonts w:hint="eastAsia" w:ascii="宋体" w:hAnsi="宋体"/>
                <w:sz w:val="28"/>
                <w:szCs w:val="28"/>
              </w:rPr>
              <w:t>/授权代表</w:t>
            </w:r>
            <w:r>
              <w:rPr>
                <w:rFonts w:ascii="宋体" w:hAnsi="宋体"/>
                <w:sz w:val="28"/>
                <w:szCs w:val="28"/>
              </w:rPr>
              <w:t>：</w:t>
            </w:r>
          </w:p>
          <w:p w14:paraId="132F3D13">
            <w:pPr>
              <w:spacing w:line="440" w:lineRule="exact"/>
              <w:rPr>
                <w:rFonts w:ascii="宋体" w:hAnsi="宋体"/>
                <w:sz w:val="28"/>
                <w:szCs w:val="28"/>
              </w:rPr>
            </w:pPr>
            <w:r>
              <w:rPr>
                <w:rFonts w:ascii="宋体" w:hAnsi="宋体"/>
                <w:sz w:val="28"/>
                <w:szCs w:val="28"/>
              </w:rPr>
              <w:t>纪检负责人：</w:t>
            </w:r>
          </w:p>
          <w:p w14:paraId="1646C5DD">
            <w:pPr>
              <w:spacing w:line="440" w:lineRule="exact"/>
              <w:rPr>
                <w:rFonts w:ascii="宋体" w:hAnsi="宋体"/>
                <w:sz w:val="28"/>
                <w:szCs w:val="28"/>
              </w:rPr>
            </w:pPr>
            <w:r>
              <w:rPr>
                <w:rFonts w:ascii="宋体" w:hAnsi="宋体"/>
                <w:sz w:val="28"/>
                <w:szCs w:val="28"/>
              </w:rPr>
              <w:t>纪检联系人（签字）：</w:t>
            </w:r>
          </w:p>
          <w:p w14:paraId="34217F76">
            <w:pPr>
              <w:spacing w:line="440" w:lineRule="exact"/>
              <w:rPr>
                <w:rFonts w:asciiTheme="minorEastAsia" w:hAnsiTheme="minorEastAsia" w:eastAsiaTheme="minorEastAsia"/>
                <w:sz w:val="28"/>
                <w:szCs w:val="28"/>
              </w:rPr>
            </w:pPr>
            <w:r>
              <w:rPr>
                <w:rFonts w:hint="eastAsia" w:ascii="宋体" w:hAnsi="宋体"/>
                <w:sz w:val="28"/>
                <w:szCs w:val="28"/>
              </w:rPr>
              <w:t>日期：</w:t>
            </w:r>
          </w:p>
        </w:tc>
        <w:tc>
          <w:tcPr>
            <w:tcW w:w="284" w:type="dxa"/>
          </w:tcPr>
          <w:p w14:paraId="042392FC">
            <w:pPr>
              <w:spacing w:line="440" w:lineRule="exact"/>
              <w:rPr>
                <w:rFonts w:asciiTheme="minorEastAsia" w:hAnsiTheme="minorEastAsia" w:eastAsiaTheme="minorEastAsia"/>
                <w:sz w:val="28"/>
                <w:szCs w:val="28"/>
              </w:rPr>
            </w:pPr>
          </w:p>
        </w:tc>
        <w:tc>
          <w:tcPr>
            <w:tcW w:w="4025" w:type="dxa"/>
          </w:tcPr>
          <w:p w14:paraId="63CA7B1A">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乙方（盖章）：</w:t>
            </w:r>
            <w:r>
              <w:rPr>
                <w:rFonts w:hint="eastAsia" w:ascii="宋体" w:hAnsi="宋体"/>
                <w:bCs/>
                <w:sz w:val="28"/>
                <w:szCs w:val="28"/>
              </w:rPr>
              <w:t xml:space="preserve"> </w:t>
            </w:r>
          </w:p>
          <w:p w14:paraId="69E17F11">
            <w:pPr>
              <w:spacing w:line="440" w:lineRule="exact"/>
              <w:rPr>
                <w:rFonts w:asciiTheme="minorEastAsia" w:hAnsiTheme="minorEastAsia" w:eastAsiaTheme="minorEastAsia"/>
                <w:sz w:val="28"/>
                <w:szCs w:val="28"/>
              </w:rPr>
            </w:pPr>
            <w:r>
              <w:rPr>
                <w:rFonts w:asciiTheme="minorEastAsia" w:hAnsiTheme="minorEastAsia" w:eastAsiaTheme="minorEastAsia"/>
                <w:sz w:val="28"/>
                <w:szCs w:val="28"/>
              </w:rPr>
              <w:t xml:space="preserve">地址： </w:t>
            </w:r>
          </w:p>
          <w:p w14:paraId="0AD49B3A">
            <w:pPr>
              <w:spacing w:line="440" w:lineRule="exact"/>
              <w:rPr>
                <w:rFonts w:ascii="宋体" w:hAnsi="宋体"/>
                <w:sz w:val="28"/>
                <w:szCs w:val="28"/>
              </w:rPr>
            </w:pPr>
            <w:r>
              <w:rPr>
                <w:rFonts w:ascii="宋体" w:hAnsi="宋体"/>
                <w:sz w:val="28"/>
                <w:szCs w:val="28"/>
              </w:rPr>
              <w:t>法定代表人</w:t>
            </w:r>
            <w:r>
              <w:rPr>
                <w:rFonts w:hint="eastAsia" w:ascii="宋体" w:hAnsi="宋体"/>
                <w:sz w:val="28"/>
                <w:szCs w:val="28"/>
              </w:rPr>
              <w:t>/授权代表</w:t>
            </w:r>
            <w:r>
              <w:rPr>
                <w:rFonts w:ascii="宋体" w:hAnsi="宋体"/>
                <w:sz w:val="28"/>
                <w:szCs w:val="28"/>
              </w:rPr>
              <w:t xml:space="preserve">： </w:t>
            </w:r>
          </w:p>
          <w:p w14:paraId="1953B0B4">
            <w:pPr>
              <w:spacing w:line="440" w:lineRule="exact"/>
              <w:rPr>
                <w:rFonts w:ascii="宋体" w:hAnsi="宋体"/>
                <w:sz w:val="28"/>
                <w:szCs w:val="28"/>
              </w:rPr>
            </w:pPr>
            <w:r>
              <w:rPr>
                <w:rFonts w:ascii="宋体" w:hAnsi="宋体"/>
                <w:sz w:val="28"/>
                <w:szCs w:val="28"/>
              </w:rPr>
              <w:t xml:space="preserve">纪检负责人： </w:t>
            </w:r>
          </w:p>
          <w:p w14:paraId="3AAE9872">
            <w:pPr>
              <w:spacing w:line="440" w:lineRule="exact"/>
              <w:rPr>
                <w:rFonts w:ascii="宋体" w:hAnsi="宋体"/>
                <w:sz w:val="28"/>
                <w:szCs w:val="28"/>
              </w:rPr>
            </w:pPr>
            <w:r>
              <w:rPr>
                <w:rFonts w:ascii="宋体" w:hAnsi="宋体"/>
                <w:sz w:val="28"/>
                <w:szCs w:val="28"/>
              </w:rPr>
              <w:t xml:space="preserve">纪检联系人（签字）： </w:t>
            </w:r>
          </w:p>
          <w:p w14:paraId="571B29F3">
            <w:pPr>
              <w:spacing w:line="440" w:lineRule="exact"/>
              <w:rPr>
                <w:rFonts w:asciiTheme="minorEastAsia" w:hAnsiTheme="minorEastAsia" w:eastAsiaTheme="minorEastAsia"/>
                <w:sz w:val="28"/>
                <w:szCs w:val="28"/>
              </w:rPr>
            </w:pPr>
            <w:r>
              <w:rPr>
                <w:rFonts w:hint="eastAsia" w:ascii="宋体" w:hAnsi="宋体"/>
                <w:sz w:val="28"/>
                <w:szCs w:val="28"/>
              </w:rPr>
              <w:t>日期：</w:t>
            </w:r>
          </w:p>
        </w:tc>
      </w:tr>
    </w:tbl>
    <w:p w14:paraId="11993280">
      <w:pPr>
        <w:widowControl/>
        <w:spacing w:line="360" w:lineRule="auto"/>
        <w:jc w:val="left"/>
        <w:rPr>
          <w:rFonts w:ascii="宋体" w:hAnsi="宋体" w:cs="宋体"/>
          <w:szCs w:val="21"/>
        </w:rPr>
      </w:pPr>
    </w:p>
    <w:p w14:paraId="4FAB0E6C">
      <w:pPr>
        <w:widowControl/>
        <w:jc w:val="left"/>
        <w:rPr>
          <w:rFonts w:ascii="宋体" w:hAnsi="宋体"/>
          <w:b/>
          <w:sz w:val="36"/>
          <w:szCs w:val="36"/>
        </w:rPr>
      </w:pPr>
      <w:bookmarkStart w:id="2428" w:name="_Toc97371947"/>
      <w:r>
        <w:rPr>
          <w:rFonts w:ascii="宋体" w:hAnsi="宋体"/>
          <w:b/>
          <w:sz w:val="36"/>
          <w:szCs w:val="36"/>
        </w:rPr>
        <w:br w:type="page"/>
      </w:r>
    </w:p>
    <w:p w14:paraId="3D3313D8">
      <w:pPr>
        <w:pStyle w:val="272"/>
        <w:numPr>
          <w:ilvl w:val="0"/>
          <w:numId w:val="22"/>
        </w:numPr>
        <w:spacing w:line="360" w:lineRule="auto"/>
        <w:ind w:firstLineChars="0"/>
        <w:jc w:val="center"/>
        <w:outlineLvl w:val="0"/>
        <w:rPr>
          <w:rFonts w:ascii="宋体" w:hAnsi="宋体"/>
          <w:b/>
          <w:sz w:val="36"/>
          <w:szCs w:val="36"/>
        </w:rPr>
      </w:pPr>
      <w:r>
        <w:rPr>
          <w:rFonts w:ascii="宋体" w:hAnsi="宋体"/>
          <w:b/>
          <w:sz w:val="36"/>
          <w:szCs w:val="36"/>
        </w:rPr>
        <w:t>响应文件格式</w:t>
      </w:r>
      <w:bookmarkEnd w:id="2428"/>
    </w:p>
    <w:p w14:paraId="5AE2ACEC">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14:paraId="4510C149">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1、供应商按照本部分的顺序编制响应文件，编制中涉及格式资料的，应按照本部分提供的内容和格式（所有表格的格式可扩展）填写提交。</w:t>
      </w:r>
    </w:p>
    <w:p w14:paraId="2ED3E869">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1287C449">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7D81EA93">
      <w:pPr>
        <w:tabs>
          <w:tab w:val="left" w:pos="900"/>
          <w:tab w:val="left" w:pos="1980"/>
        </w:tabs>
        <w:snapToGrid w:val="0"/>
        <w:spacing w:line="360" w:lineRule="auto"/>
        <w:ind w:left="142"/>
        <w:rPr>
          <w:rFonts w:ascii="宋体" w:hAnsi="宋体"/>
          <w:sz w:val="24"/>
        </w:rPr>
      </w:pPr>
    </w:p>
    <w:p w14:paraId="7C11033B">
      <w:pPr>
        <w:widowControl/>
        <w:jc w:val="left"/>
        <w:rPr>
          <w:rFonts w:ascii="宋体" w:hAnsi="宋体"/>
          <w:sz w:val="24"/>
        </w:rPr>
      </w:pPr>
      <w:r>
        <w:rPr>
          <w:rFonts w:ascii="宋体" w:hAnsi="宋体"/>
          <w:sz w:val="24"/>
        </w:rPr>
        <w:br w:type="page"/>
      </w:r>
    </w:p>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14:paraId="33B5FC20">
      <w:pPr>
        <w:rPr>
          <w:rFonts w:ascii="宋体" w:hAnsi="宋体"/>
          <w:b/>
          <w:spacing w:val="20"/>
          <w:szCs w:val="21"/>
        </w:rPr>
      </w:pPr>
    </w:p>
    <w:p w14:paraId="67961DAE">
      <w:pPr>
        <w:rPr>
          <w:rFonts w:ascii="宋体" w:hAnsi="宋体"/>
          <w:b/>
          <w:sz w:val="24"/>
        </w:rPr>
      </w:pPr>
      <w:r>
        <w:rPr>
          <w:rFonts w:ascii="宋体" w:hAnsi="宋体"/>
          <w:b/>
          <w:spacing w:val="20"/>
          <w:sz w:val="24"/>
        </w:rPr>
        <w:t>响应文件</w:t>
      </w:r>
      <w:r>
        <w:rPr>
          <w:rFonts w:ascii="宋体" w:hAnsi="宋体"/>
          <w:b/>
          <w:sz w:val="24"/>
        </w:rPr>
        <w:t>封面（非实质性格式）</w:t>
      </w:r>
    </w:p>
    <w:p w14:paraId="04FD960C">
      <w:pPr>
        <w:jc w:val="center"/>
        <w:rPr>
          <w:rFonts w:ascii="宋体" w:hAnsi="宋体"/>
          <w:szCs w:val="21"/>
        </w:rPr>
      </w:pPr>
    </w:p>
    <w:p w14:paraId="0F720B2D">
      <w:pPr>
        <w:jc w:val="center"/>
        <w:rPr>
          <w:rFonts w:ascii="宋体" w:hAnsi="宋体"/>
          <w:b/>
          <w:spacing w:val="60"/>
          <w:sz w:val="84"/>
          <w:szCs w:val="84"/>
        </w:rPr>
      </w:pPr>
    </w:p>
    <w:p w14:paraId="25237565">
      <w:pPr>
        <w:jc w:val="center"/>
        <w:rPr>
          <w:rFonts w:ascii="宋体" w:hAnsi="宋体"/>
          <w:b/>
          <w:spacing w:val="60"/>
          <w:sz w:val="84"/>
          <w:szCs w:val="84"/>
        </w:rPr>
      </w:pPr>
    </w:p>
    <w:p w14:paraId="5F96BA70">
      <w:pPr>
        <w:pStyle w:val="2"/>
      </w:pPr>
    </w:p>
    <w:p w14:paraId="5C5B786F">
      <w:pPr>
        <w:jc w:val="center"/>
        <w:rPr>
          <w:rFonts w:ascii="宋体" w:hAnsi="宋体"/>
          <w:b/>
          <w:spacing w:val="60"/>
          <w:sz w:val="84"/>
          <w:szCs w:val="84"/>
        </w:rPr>
      </w:pPr>
      <w:r>
        <w:rPr>
          <w:rFonts w:ascii="宋体" w:hAnsi="宋体"/>
          <w:b/>
          <w:spacing w:val="60"/>
          <w:sz w:val="84"/>
          <w:szCs w:val="84"/>
        </w:rPr>
        <w:t>响 应 文 件</w:t>
      </w:r>
    </w:p>
    <w:p w14:paraId="3C2824DF">
      <w:pPr>
        <w:jc w:val="center"/>
        <w:rPr>
          <w:rFonts w:ascii="宋体" w:hAnsi="宋体"/>
          <w:b/>
          <w:spacing w:val="60"/>
          <w:sz w:val="52"/>
          <w:szCs w:val="52"/>
        </w:rPr>
      </w:pPr>
    </w:p>
    <w:p w14:paraId="6B1B6416">
      <w:pPr>
        <w:ind w:firstLine="542" w:firstLineChars="150"/>
        <w:rPr>
          <w:rFonts w:ascii="宋体" w:hAnsi="宋体"/>
          <w:b/>
          <w:spacing w:val="20"/>
          <w:sz w:val="32"/>
          <w:szCs w:val="32"/>
        </w:rPr>
      </w:pPr>
    </w:p>
    <w:p w14:paraId="14DBA179">
      <w:pPr>
        <w:ind w:firstLine="542" w:firstLineChars="150"/>
        <w:rPr>
          <w:rFonts w:ascii="宋体" w:hAnsi="宋体"/>
          <w:b/>
          <w:spacing w:val="20"/>
          <w:sz w:val="32"/>
          <w:szCs w:val="32"/>
        </w:rPr>
      </w:pPr>
    </w:p>
    <w:p w14:paraId="48CE4DA3">
      <w:pPr>
        <w:ind w:firstLine="542" w:firstLineChars="150"/>
        <w:rPr>
          <w:rFonts w:ascii="宋体" w:hAnsi="宋体"/>
          <w:b/>
          <w:spacing w:val="20"/>
          <w:sz w:val="32"/>
          <w:szCs w:val="32"/>
        </w:rPr>
      </w:pPr>
      <w:r>
        <w:rPr>
          <w:rFonts w:ascii="宋体" w:hAnsi="宋体"/>
          <w:b/>
          <w:spacing w:val="20"/>
          <w:sz w:val="32"/>
          <w:szCs w:val="32"/>
        </w:rPr>
        <w:t>项目名称:</w:t>
      </w:r>
    </w:p>
    <w:p w14:paraId="2D854646">
      <w:pPr>
        <w:ind w:firstLine="542" w:firstLineChars="150"/>
        <w:rPr>
          <w:rFonts w:ascii="宋体" w:hAnsi="宋体"/>
          <w:b/>
          <w:spacing w:val="20"/>
          <w:sz w:val="32"/>
          <w:szCs w:val="32"/>
        </w:rPr>
      </w:pPr>
      <w:r>
        <w:rPr>
          <w:rFonts w:ascii="宋体" w:hAnsi="宋体"/>
          <w:b/>
          <w:spacing w:val="20"/>
          <w:sz w:val="32"/>
          <w:szCs w:val="32"/>
        </w:rPr>
        <w:t>项目编号：</w:t>
      </w:r>
    </w:p>
    <w:p w14:paraId="6CE5C005">
      <w:pPr>
        <w:jc w:val="center"/>
        <w:rPr>
          <w:rFonts w:ascii="宋体" w:hAnsi="宋体"/>
          <w:b/>
          <w:spacing w:val="20"/>
          <w:sz w:val="32"/>
          <w:szCs w:val="32"/>
        </w:rPr>
      </w:pPr>
    </w:p>
    <w:p w14:paraId="450482CB">
      <w:pPr>
        <w:pStyle w:val="2"/>
      </w:pPr>
    </w:p>
    <w:p w14:paraId="591A6CB4">
      <w:pPr>
        <w:pStyle w:val="2"/>
      </w:pPr>
    </w:p>
    <w:p w14:paraId="65C90FC1">
      <w:pPr>
        <w:jc w:val="center"/>
        <w:rPr>
          <w:rFonts w:ascii="宋体" w:hAnsi="宋体"/>
          <w:b/>
          <w:sz w:val="32"/>
          <w:szCs w:val="32"/>
        </w:rPr>
      </w:pPr>
    </w:p>
    <w:p w14:paraId="6D6E3B33">
      <w:pPr>
        <w:jc w:val="center"/>
        <w:rPr>
          <w:rFonts w:ascii="宋体" w:hAnsi="宋体"/>
          <w:b/>
          <w:sz w:val="32"/>
          <w:szCs w:val="32"/>
        </w:rPr>
      </w:pPr>
    </w:p>
    <w:p w14:paraId="38E1F66F">
      <w:pPr>
        <w:jc w:val="center"/>
        <w:rPr>
          <w:rFonts w:ascii="宋体" w:hAnsi="宋体"/>
          <w:b/>
          <w:spacing w:val="20"/>
          <w:sz w:val="32"/>
          <w:szCs w:val="32"/>
        </w:rPr>
      </w:pPr>
    </w:p>
    <w:p w14:paraId="4FB7D12C">
      <w:pPr>
        <w:jc w:val="center"/>
        <w:rPr>
          <w:rFonts w:ascii="宋体" w:hAnsi="宋体"/>
          <w:b/>
          <w:spacing w:val="20"/>
          <w:sz w:val="32"/>
          <w:szCs w:val="32"/>
        </w:rPr>
      </w:pPr>
    </w:p>
    <w:p w14:paraId="59E05E73">
      <w:pPr>
        <w:jc w:val="center"/>
        <w:rPr>
          <w:rFonts w:ascii="宋体" w:hAnsi="宋体"/>
          <w:b/>
          <w:spacing w:val="20"/>
          <w:sz w:val="32"/>
          <w:szCs w:val="32"/>
        </w:rPr>
      </w:pPr>
    </w:p>
    <w:p w14:paraId="0F9436F9">
      <w:pPr>
        <w:spacing w:line="360" w:lineRule="auto"/>
        <w:ind w:firstLine="1284" w:firstLineChars="400"/>
        <w:jc w:val="left"/>
        <w:rPr>
          <w:rFonts w:ascii="宋体" w:hAnsi="宋体" w:cs="宋体"/>
          <w:b/>
          <w:spacing w:val="20"/>
          <w:sz w:val="28"/>
          <w:szCs w:val="28"/>
          <w:u w:val="single"/>
        </w:rPr>
      </w:pPr>
      <w:r>
        <w:rPr>
          <w:rFonts w:hint="eastAsia" w:ascii="宋体" w:hAnsi="宋体" w:cs="宋体"/>
          <w:b/>
          <w:spacing w:val="20"/>
          <w:sz w:val="28"/>
          <w:szCs w:val="28"/>
        </w:rPr>
        <w:t>供应商名称：</w:t>
      </w:r>
      <w:r>
        <w:rPr>
          <w:rFonts w:hint="eastAsia" w:ascii="宋体" w:hAnsi="宋体" w:cs="宋体"/>
          <w:b/>
          <w:spacing w:val="20"/>
          <w:sz w:val="28"/>
          <w:szCs w:val="28"/>
          <w:u w:val="single"/>
        </w:rPr>
        <w:t xml:space="preserve">           （加盖单位公章）</w:t>
      </w:r>
    </w:p>
    <w:p w14:paraId="0AFAE012">
      <w:pPr>
        <w:pStyle w:val="2"/>
      </w:pPr>
    </w:p>
    <w:p w14:paraId="440DB617">
      <w:pPr>
        <w:jc w:val="center"/>
        <w:rPr>
          <w:rFonts w:ascii="宋体" w:hAnsi="宋体"/>
          <w:b/>
          <w:sz w:val="32"/>
          <w:szCs w:val="32"/>
        </w:rPr>
      </w:pPr>
      <w:r>
        <w:rPr>
          <w:rFonts w:hint="eastAsia" w:hAnsi="宋体" w:cs="宋体"/>
          <w:spacing w:val="20"/>
          <w:sz w:val="28"/>
          <w:szCs w:val="28"/>
        </w:rPr>
        <w:t>日期：2024年   月   日</w:t>
      </w:r>
    </w:p>
    <w:p w14:paraId="5D0F5CB5">
      <w:pPr>
        <w:rPr>
          <w:rFonts w:ascii="宋体" w:hAnsi="宋体"/>
          <w:b/>
        </w:rPr>
      </w:pPr>
      <w:r>
        <w:rPr>
          <w:rFonts w:ascii="宋体" w:hAnsi="宋体"/>
          <w:b/>
          <w:spacing w:val="20"/>
          <w:sz w:val="32"/>
          <w:szCs w:val="32"/>
        </w:rPr>
        <w:br w:type="page"/>
      </w:r>
    </w:p>
    <w:p w14:paraId="3164691E">
      <w:pPr>
        <w:pStyle w:val="272"/>
        <w:numPr>
          <w:ilvl w:val="0"/>
          <w:numId w:val="24"/>
        </w:numPr>
        <w:tabs>
          <w:tab w:val="left" w:pos="360"/>
        </w:tabs>
        <w:snapToGrid w:val="0"/>
        <w:spacing w:line="360" w:lineRule="auto"/>
        <w:ind w:firstLineChars="0"/>
        <w:outlineLvl w:val="1"/>
        <w:rPr>
          <w:rFonts w:ascii="宋体" w:hAnsi="宋体"/>
          <w:sz w:val="24"/>
        </w:rPr>
      </w:pPr>
      <w:r>
        <w:rPr>
          <w:rFonts w:ascii="宋体" w:hAnsi="宋体"/>
          <w:sz w:val="24"/>
        </w:rPr>
        <w:t>满足《中华人民共和国政府采购法》第二十二条规定及法律法规的其他规定</w:t>
      </w:r>
    </w:p>
    <w:p w14:paraId="742163CF">
      <w:pPr>
        <w:spacing w:line="360" w:lineRule="auto"/>
        <w:outlineLvl w:val="2"/>
        <w:rPr>
          <w:rFonts w:ascii="宋体" w:hAnsi="宋体"/>
          <w:sz w:val="24"/>
        </w:rPr>
      </w:pPr>
      <w:r>
        <w:rPr>
          <w:rFonts w:ascii="宋体" w:hAnsi="宋体"/>
          <w:sz w:val="24"/>
        </w:rPr>
        <w:t>1-1营业执照等证明文件</w:t>
      </w:r>
    </w:p>
    <w:p w14:paraId="3FFEFA14">
      <w:pPr>
        <w:tabs>
          <w:tab w:val="left" w:pos="1080"/>
        </w:tabs>
        <w:snapToGrid w:val="0"/>
        <w:rPr>
          <w:rFonts w:ascii="宋体" w:hAnsi="宋体"/>
          <w:sz w:val="24"/>
        </w:rPr>
      </w:pPr>
    </w:p>
    <w:p w14:paraId="33CCB11A">
      <w:pPr>
        <w:widowControl/>
        <w:jc w:val="left"/>
        <w:rPr>
          <w:rFonts w:ascii="宋体" w:hAnsi="宋体"/>
          <w:sz w:val="24"/>
          <w:szCs w:val="20"/>
        </w:rPr>
      </w:pPr>
      <w:r>
        <w:rPr>
          <w:rFonts w:ascii="宋体" w:hAnsi="宋体"/>
          <w:sz w:val="24"/>
        </w:rPr>
        <w:br w:type="page"/>
      </w:r>
    </w:p>
    <w:p w14:paraId="4EB2F222">
      <w:pPr>
        <w:pStyle w:val="6"/>
        <w:rPr>
          <w:rFonts w:hAnsi="宋体"/>
          <w:b w:val="0"/>
          <w:bCs/>
          <w:szCs w:val="24"/>
          <w:u w:val="none"/>
        </w:rPr>
      </w:pPr>
      <w:r>
        <w:rPr>
          <w:rFonts w:hAnsi="宋体"/>
          <w:b w:val="0"/>
          <w:szCs w:val="24"/>
          <w:u w:val="none"/>
        </w:rPr>
        <w:t>1-2 供应商资格声明书（实质性格式）</w:t>
      </w:r>
    </w:p>
    <w:p w14:paraId="41FFEB54">
      <w:pPr>
        <w:jc w:val="center"/>
        <w:rPr>
          <w:rFonts w:ascii="宋体" w:hAnsi="宋体"/>
          <w:b/>
          <w:sz w:val="36"/>
          <w:szCs w:val="36"/>
        </w:rPr>
      </w:pPr>
      <w:r>
        <w:rPr>
          <w:rFonts w:hint="eastAsia" w:ascii="宋体" w:hAnsi="宋体"/>
          <w:b/>
          <w:sz w:val="36"/>
          <w:szCs w:val="36"/>
        </w:rPr>
        <w:t>供应商资格声明书</w:t>
      </w:r>
    </w:p>
    <w:p w14:paraId="11F3BB5A">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4E672A43">
      <w:pPr>
        <w:spacing w:line="360" w:lineRule="auto"/>
        <w:ind w:firstLine="480" w:firstLineChars="200"/>
        <w:rPr>
          <w:rFonts w:ascii="宋体" w:hAnsi="宋体"/>
          <w:sz w:val="24"/>
        </w:rPr>
      </w:pPr>
      <w:r>
        <w:rPr>
          <w:rFonts w:ascii="宋体" w:hAnsi="宋体"/>
          <w:sz w:val="24"/>
        </w:rPr>
        <w:t>在参与本次项目磋商中，我单位承诺：</w:t>
      </w:r>
    </w:p>
    <w:p w14:paraId="66CD1984">
      <w:pPr>
        <w:numPr>
          <w:ilvl w:val="0"/>
          <w:numId w:val="25"/>
        </w:numPr>
        <w:spacing w:line="360" w:lineRule="auto"/>
        <w:ind w:left="1134"/>
        <w:rPr>
          <w:rFonts w:ascii="宋体" w:hAnsi="宋体"/>
          <w:sz w:val="24"/>
          <w:szCs w:val="22"/>
        </w:rPr>
      </w:pPr>
      <w:r>
        <w:rPr>
          <w:rFonts w:ascii="宋体" w:hAnsi="宋体"/>
          <w:sz w:val="24"/>
          <w:szCs w:val="22"/>
        </w:rPr>
        <w:t>具有良好的商业信誉和健全的财务会计制度；</w:t>
      </w:r>
    </w:p>
    <w:p w14:paraId="6558BA3D">
      <w:pPr>
        <w:numPr>
          <w:ilvl w:val="0"/>
          <w:numId w:val="25"/>
        </w:numPr>
        <w:spacing w:line="360" w:lineRule="auto"/>
        <w:ind w:left="1134"/>
        <w:rPr>
          <w:rFonts w:ascii="宋体" w:hAnsi="宋体"/>
          <w:sz w:val="24"/>
          <w:szCs w:val="22"/>
        </w:rPr>
      </w:pPr>
      <w:r>
        <w:rPr>
          <w:rFonts w:ascii="宋体" w:hAnsi="宋体"/>
          <w:sz w:val="24"/>
          <w:szCs w:val="22"/>
        </w:rPr>
        <w:t>具有履行合同所必需的设备和专业技术能力；</w:t>
      </w:r>
    </w:p>
    <w:p w14:paraId="17ED9579">
      <w:pPr>
        <w:numPr>
          <w:ilvl w:val="0"/>
          <w:numId w:val="25"/>
        </w:numPr>
        <w:spacing w:line="360" w:lineRule="auto"/>
        <w:ind w:left="1134"/>
        <w:rPr>
          <w:rFonts w:ascii="宋体" w:hAnsi="宋体"/>
          <w:sz w:val="24"/>
          <w:szCs w:val="22"/>
        </w:rPr>
      </w:pPr>
      <w:r>
        <w:rPr>
          <w:rFonts w:ascii="宋体" w:hAnsi="宋体"/>
          <w:sz w:val="24"/>
          <w:szCs w:val="22"/>
        </w:rPr>
        <w:t>有依法缴纳税收和社会保障资金的良好记录；</w:t>
      </w:r>
    </w:p>
    <w:p w14:paraId="108BF83C">
      <w:pPr>
        <w:numPr>
          <w:ilvl w:val="0"/>
          <w:numId w:val="25"/>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4BECEE4">
      <w:pPr>
        <w:numPr>
          <w:ilvl w:val="0"/>
          <w:numId w:val="25"/>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0713EA68">
      <w:pPr>
        <w:numPr>
          <w:ilvl w:val="0"/>
          <w:numId w:val="25"/>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221448A3">
      <w:pPr>
        <w:numPr>
          <w:ilvl w:val="0"/>
          <w:numId w:val="25"/>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67"/>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6E759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F33592C">
            <w:pPr>
              <w:jc w:val="center"/>
              <w:rPr>
                <w:rFonts w:ascii="宋体" w:hAnsi="宋体"/>
                <w:sz w:val="24"/>
              </w:rPr>
            </w:pPr>
            <w:r>
              <w:rPr>
                <w:rFonts w:ascii="宋体" w:hAnsi="宋体"/>
                <w:sz w:val="24"/>
              </w:rPr>
              <w:t>序号</w:t>
            </w:r>
          </w:p>
        </w:tc>
        <w:tc>
          <w:tcPr>
            <w:tcW w:w="4574" w:type="dxa"/>
            <w:vAlign w:val="center"/>
          </w:tcPr>
          <w:p w14:paraId="6FF0E385">
            <w:pPr>
              <w:jc w:val="center"/>
              <w:rPr>
                <w:rFonts w:ascii="宋体" w:hAnsi="宋体"/>
                <w:sz w:val="24"/>
              </w:rPr>
            </w:pPr>
            <w:r>
              <w:rPr>
                <w:rFonts w:ascii="宋体" w:hAnsi="宋体"/>
                <w:sz w:val="24"/>
              </w:rPr>
              <w:t>单位名称</w:t>
            </w:r>
          </w:p>
        </w:tc>
        <w:tc>
          <w:tcPr>
            <w:tcW w:w="2976" w:type="dxa"/>
            <w:vAlign w:val="center"/>
          </w:tcPr>
          <w:p w14:paraId="07554CF2">
            <w:pPr>
              <w:jc w:val="center"/>
              <w:rPr>
                <w:rFonts w:ascii="宋体" w:hAnsi="宋体"/>
                <w:sz w:val="24"/>
              </w:rPr>
            </w:pPr>
            <w:r>
              <w:rPr>
                <w:rFonts w:ascii="宋体" w:hAnsi="宋体"/>
                <w:sz w:val="24"/>
              </w:rPr>
              <w:t>相互关系</w:t>
            </w:r>
          </w:p>
        </w:tc>
      </w:tr>
      <w:tr w14:paraId="43868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0DAA709">
            <w:pPr>
              <w:jc w:val="center"/>
              <w:rPr>
                <w:rFonts w:ascii="宋体" w:hAnsi="宋体"/>
                <w:sz w:val="24"/>
              </w:rPr>
            </w:pPr>
            <w:r>
              <w:rPr>
                <w:rFonts w:ascii="宋体" w:hAnsi="宋体"/>
                <w:sz w:val="24"/>
              </w:rPr>
              <w:t>1</w:t>
            </w:r>
          </w:p>
        </w:tc>
        <w:tc>
          <w:tcPr>
            <w:tcW w:w="4574" w:type="dxa"/>
            <w:vAlign w:val="center"/>
          </w:tcPr>
          <w:p w14:paraId="4F46C6BB">
            <w:pPr>
              <w:jc w:val="center"/>
              <w:rPr>
                <w:rFonts w:ascii="宋体" w:hAnsi="宋体"/>
                <w:sz w:val="24"/>
              </w:rPr>
            </w:pPr>
          </w:p>
        </w:tc>
        <w:tc>
          <w:tcPr>
            <w:tcW w:w="2976" w:type="dxa"/>
            <w:vAlign w:val="center"/>
          </w:tcPr>
          <w:p w14:paraId="6942D231">
            <w:pPr>
              <w:jc w:val="center"/>
              <w:rPr>
                <w:rFonts w:ascii="宋体" w:hAnsi="宋体"/>
                <w:sz w:val="24"/>
              </w:rPr>
            </w:pPr>
          </w:p>
        </w:tc>
      </w:tr>
      <w:tr w14:paraId="31774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C27B2E3">
            <w:pPr>
              <w:jc w:val="center"/>
              <w:rPr>
                <w:rFonts w:ascii="宋体" w:hAnsi="宋体"/>
                <w:sz w:val="24"/>
              </w:rPr>
            </w:pPr>
            <w:r>
              <w:rPr>
                <w:rFonts w:ascii="宋体" w:hAnsi="宋体"/>
                <w:sz w:val="24"/>
              </w:rPr>
              <w:t>2</w:t>
            </w:r>
          </w:p>
        </w:tc>
        <w:tc>
          <w:tcPr>
            <w:tcW w:w="4574" w:type="dxa"/>
            <w:vAlign w:val="center"/>
          </w:tcPr>
          <w:p w14:paraId="3A066C6E">
            <w:pPr>
              <w:jc w:val="center"/>
              <w:rPr>
                <w:rFonts w:ascii="宋体" w:hAnsi="宋体"/>
                <w:sz w:val="24"/>
              </w:rPr>
            </w:pPr>
          </w:p>
        </w:tc>
        <w:tc>
          <w:tcPr>
            <w:tcW w:w="2976" w:type="dxa"/>
            <w:vAlign w:val="center"/>
          </w:tcPr>
          <w:p w14:paraId="237A9A1E">
            <w:pPr>
              <w:jc w:val="center"/>
              <w:rPr>
                <w:rFonts w:ascii="宋体" w:hAnsi="宋体"/>
                <w:sz w:val="24"/>
              </w:rPr>
            </w:pPr>
          </w:p>
        </w:tc>
      </w:tr>
      <w:tr w14:paraId="43947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83049B2">
            <w:pPr>
              <w:jc w:val="center"/>
              <w:rPr>
                <w:rFonts w:ascii="宋体" w:hAnsi="宋体"/>
                <w:sz w:val="24"/>
              </w:rPr>
            </w:pPr>
            <w:r>
              <w:rPr>
                <w:rFonts w:ascii="宋体" w:hAnsi="宋体"/>
                <w:sz w:val="24"/>
              </w:rPr>
              <w:t>…</w:t>
            </w:r>
          </w:p>
        </w:tc>
        <w:tc>
          <w:tcPr>
            <w:tcW w:w="4574" w:type="dxa"/>
            <w:vAlign w:val="center"/>
          </w:tcPr>
          <w:p w14:paraId="7F88031C">
            <w:pPr>
              <w:jc w:val="center"/>
              <w:rPr>
                <w:rFonts w:ascii="宋体" w:hAnsi="宋体"/>
                <w:sz w:val="24"/>
              </w:rPr>
            </w:pPr>
          </w:p>
        </w:tc>
        <w:tc>
          <w:tcPr>
            <w:tcW w:w="2976" w:type="dxa"/>
            <w:vAlign w:val="center"/>
          </w:tcPr>
          <w:p w14:paraId="1FEC3406">
            <w:pPr>
              <w:jc w:val="center"/>
              <w:rPr>
                <w:rFonts w:ascii="宋体" w:hAnsi="宋体"/>
                <w:sz w:val="24"/>
              </w:rPr>
            </w:pPr>
          </w:p>
        </w:tc>
      </w:tr>
    </w:tbl>
    <w:p w14:paraId="32C7E627">
      <w:pPr>
        <w:rPr>
          <w:rFonts w:ascii="宋体" w:hAnsi="宋体"/>
        </w:rPr>
      </w:pPr>
    </w:p>
    <w:p w14:paraId="39D53478">
      <w:pPr>
        <w:ind w:firstLine="480" w:firstLineChars="200"/>
        <w:rPr>
          <w:rFonts w:ascii="宋体" w:hAnsi="宋体"/>
          <w:sz w:val="24"/>
          <w:szCs w:val="22"/>
        </w:rPr>
      </w:pPr>
      <w:r>
        <w:rPr>
          <w:rFonts w:ascii="宋体" w:hAnsi="宋体"/>
          <w:sz w:val="24"/>
        </w:rPr>
        <w:t>上述声明真实有效，否则我方负全部责任。</w:t>
      </w:r>
    </w:p>
    <w:p w14:paraId="434AB251">
      <w:pPr>
        <w:spacing w:line="360" w:lineRule="auto"/>
        <w:rPr>
          <w:rFonts w:ascii="宋体" w:hAnsi="宋体"/>
          <w:sz w:val="24"/>
        </w:rPr>
      </w:pPr>
    </w:p>
    <w:p w14:paraId="23A79549">
      <w:pPr>
        <w:autoSpaceDE w:val="0"/>
        <w:autoSpaceDN w:val="0"/>
        <w:adjustRightInd w:val="0"/>
        <w:snapToGrid w:val="0"/>
        <w:spacing w:before="25" w:after="25" w:line="360" w:lineRule="auto"/>
        <w:ind w:right="360"/>
        <w:jc w:val="righ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6F16CC69">
      <w:pPr>
        <w:spacing w:line="360" w:lineRule="auto"/>
        <w:ind w:right="360" w:firstLine="480"/>
        <w:jc w:val="right"/>
        <w:rPr>
          <w:rFonts w:ascii="宋体" w:hAnsi="宋体"/>
          <w:sz w:val="24"/>
        </w:rPr>
      </w:pPr>
      <w:r>
        <w:rPr>
          <w:rFonts w:ascii="宋体" w:hAnsi="宋体"/>
          <w:sz w:val="24"/>
          <w:szCs w:val="20"/>
        </w:rPr>
        <w:t xml:space="preserve">日期：____年____月____日   </w:t>
      </w:r>
    </w:p>
    <w:p w14:paraId="58ACCF81">
      <w:pPr>
        <w:spacing w:line="360" w:lineRule="auto"/>
        <w:rPr>
          <w:rFonts w:ascii="宋体" w:hAnsi="宋体"/>
          <w:sz w:val="24"/>
        </w:rPr>
      </w:pPr>
      <w:r>
        <w:rPr>
          <w:rFonts w:hint="eastAsia" w:ascii="宋体" w:hAnsi="宋体"/>
          <w:sz w:val="24"/>
        </w:rPr>
        <w:t>说明：供应商承诺不实的，依据《政府采购法》第七十七条“提供虚假材料谋取中标、成交的”有关规定予以处理。</w:t>
      </w:r>
    </w:p>
    <w:p w14:paraId="78A16F56">
      <w:pPr>
        <w:tabs>
          <w:tab w:val="left" w:pos="5580"/>
        </w:tabs>
        <w:spacing w:line="360" w:lineRule="auto"/>
        <w:rPr>
          <w:rFonts w:ascii="宋体" w:hAnsi="宋体"/>
          <w:sz w:val="24"/>
        </w:rPr>
        <w:sectPr>
          <w:headerReference r:id="rId27" w:type="first"/>
          <w:headerReference r:id="rId25" w:type="default"/>
          <w:footerReference r:id="rId28" w:type="default"/>
          <w:headerReference r:id="rId26" w:type="even"/>
          <w:pgSz w:w="11907" w:h="16840"/>
          <w:pgMar w:top="851" w:right="1134" w:bottom="1418" w:left="1701" w:header="709" w:footer="851" w:gutter="0"/>
          <w:cols w:space="720" w:num="1"/>
          <w:docGrid w:linePitch="462" w:charSpace="0"/>
        </w:sectPr>
      </w:pPr>
    </w:p>
    <w:p w14:paraId="64393086">
      <w:pPr>
        <w:pStyle w:val="272"/>
        <w:numPr>
          <w:ilvl w:val="0"/>
          <w:numId w:val="24"/>
        </w:numPr>
        <w:tabs>
          <w:tab w:val="left" w:pos="360"/>
        </w:tabs>
        <w:snapToGrid w:val="0"/>
        <w:spacing w:line="360" w:lineRule="auto"/>
        <w:ind w:firstLineChars="0"/>
        <w:outlineLvl w:val="1"/>
        <w:rPr>
          <w:rFonts w:ascii="宋体" w:hAnsi="宋体"/>
          <w:sz w:val="24"/>
        </w:rPr>
      </w:pPr>
      <w:r>
        <w:rPr>
          <w:rFonts w:ascii="宋体" w:hAnsi="宋体"/>
          <w:sz w:val="24"/>
        </w:rPr>
        <w:t>落实政府采购政策需满足的资格要求（如有）</w:t>
      </w:r>
    </w:p>
    <w:p w14:paraId="01076F4F">
      <w:pPr>
        <w:spacing w:line="360" w:lineRule="auto"/>
        <w:outlineLvl w:val="2"/>
        <w:rPr>
          <w:rFonts w:ascii="宋体" w:hAnsi="宋体"/>
          <w:sz w:val="24"/>
          <w:szCs w:val="20"/>
        </w:rPr>
      </w:pPr>
      <w:r>
        <w:rPr>
          <w:rFonts w:ascii="宋体" w:hAnsi="宋体"/>
          <w:sz w:val="24"/>
          <w:szCs w:val="20"/>
        </w:rPr>
        <w:t>2-1中小企业声明函</w:t>
      </w:r>
    </w:p>
    <w:p w14:paraId="1545C906">
      <w:pPr>
        <w:tabs>
          <w:tab w:val="left" w:pos="5580"/>
        </w:tabs>
        <w:spacing w:line="360" w:lineRule="auto"/>
        <w:rPr>
          <w:rFonts w:ascii="宋体" w:hAnsi="宋体"/>
          <w:sz w:val="24"/>
        </w:rPr>
      </w:pPr>
    </w:p>
    <w:p w14:paraId="313D9BD0">
      <w:pPr>
        <w:tabs>
          <w:tab w:val="left" w:pos="5580"/>
        </w:tabs>
        <w:spacing w:line="360" w:lineRule="auto"/>
        <w:rPr>
          <w:rFonts w:ascii="宋体" w:hAnsi="宋体"/>
          <w:sz w:val="24"/>
        </w:rPr>
      </w:pPr>
      <w:r>
        <w:rPr>
          <w:rFonts w:ascii="宋体" w:hAnsi="宋体"/>
          <w:sz w:val="24"/>
        </w:rPr>
        <w:t>说明：</w:t>
      </w:r>
    </w:p>
    <w:p w14:paraId="238F351F">
      <w:pPr>
        <w:tabs>
          <w:tab w:val="left" w:pos="5580"/>
        </w:tabs>
        <w:spacing w:line="360" w:lineRule="auto"/>
        <w:rPr>
          <w:rFonts w:ascii="宋体" w:hAnsi="宋体"/>
          <w:sz w:val="24"/>
        </w:rPr>
      </w:pPr>
      <w:r>
        <w:rPr>
          <w:rFonts w:ascii="宋体" w:hAnsi="宋体"/>
          <w:sz w:val="24"/>
        </w:rPr>
        <w:t>（1）如本项目（包）不专门面向中小企业预留采购份额，</w:t>
      </w:r>
      <w:r>
        <w:rPr>
          <w:rFonts w:hint="eastAsia" w:ascii="宋体" w:hAnsi="宋体"/>
          <w:sz w:val="24"/>
        </w:rPr>
        <w:t>供应商非必须</w:t>
      </w:r>
      <w:r>
        <w:rPr>
          <w:rFonts w:ascii="宋体" w:hAnsi="宋体"/>
          <w:sz w:val="24"/>
        </w:rPr>
        <w:t>提供</w:t>
      </w:r>
      <w:r>
        <w:rPr>
          <w:rFonts w:hint="eastAsia" w:ascii="宋体" w:hAnsi="宋体"/>
          <w:sz w:val="24"/>
        </w:rPr>
        <w:t>；当小微企业拟享受中小企业扶持政策时，仍应提供</w:t>
      </w:r>
      <w:r>
        <w:rPr>
          <w:rFonts w:ascii="宋体" w:hAnsi="宋体"/>
          <w:sz w:val="24"/>
        </w:rPr>
        <w:t>《中小企业声明函》</w:t>
      </w:r>
      <w:r>
        <w:rPr>
          <w:rFonts w:hint="eastAsia" w:ascii="宋体" w:hAnsi="宋体"/>
          <w:sz w:val="24"/>
        </w:rPr>
        <w:t>，</w:t>
      </w:r>
      <w:r>
        <w:rPr>
          <w:rFonts w:ascii="宋体" w:hAnsi="宋体"/>
          <w:sz w:val="24"/>
        </w:rPr>
        <w:t>否则不得享受相关中小企业扶持政策。</w:t>
      </w:r>
    </w:p>
    <w:p w14:paraId="47F5AB15">
      <w:pPr>
        <w:tabs>
          <w:tab w:val="left" w:pos="5580"/>
        </w:tabs>
        <w:spacing w:line="360" w:lineRule="auto"/>
        <w:rPr>
          <w:rFonts w:ascii="宋体" w:hAnsi="宋体"/>
          <w:sz w:val="24"/>
        </w:rPr>
      </w:pPr>
      <w:r>
        <w:rPr>
          <w:rFonts w:ascii="宋体" w:hAnsi="宋体"/>
          <w:sz w:val="24"/>
        </w:rPr>
        <w:t>（2）如本项目（包）专门面向中小/小微企业采购，须提供《中小企业声明函》（实质性格式）。</w:t>
      </w:r>
    </w:p>
    <w:p w14:paraId="36B12B65">
      <w:pPr>
        <w:tabs>
          <w:tab w:val="left" w:pos="5580"/>
        </w:tabs>
        <w:spacing w:line="360" w:lineRule="auto"/>
        <w:rPr>
          <w:rFonts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45DA8CEB">
      <w:pPr>
        <w:tabs>
          <w:tab w:val="left" w:pos="5580"/>
        </w:tabs>
        <w:spacing w:line="360" w:lineRule="auto"/>
        <w:rPr>
          <w:rFonts w:ascii="宋体" w:hAnsi="宋体"/>
          <w:sz w:val="24"/>
        </w:rPr>
      </w:pPr>
      <w:r>
        <w:rPr>
          <w:rFonts w:ascii="宋体" w:hAnsi="宋体"/>
          <w:sz w:val="24"/>
        </w:rPr>
        <w:t>（4）其他</w:t>
      </w:r>
    </w:p>
    <w:p w14:paraId="6C5CFB4B">
      <w:pPr>
        <w:tabs>
          <w:tab w:val="left" w:pos="5580"/>
        </w:tabs>
        <w:spacing w:line="360" w:lineRule="auto"/>
        <w:rPr>
          <w:rFonts w:ascii="宋体" w:hAnsi="宋体"/>
          <w:sz w:val="24"/>
        </w:rPr>
      </w:pPr>
      <w:r>
        <w:rPr>
          <w:rFonts w:ascii="宋体" w:hAnsi="宋体"/>
          <w:sz w:val="24"/>
        </w:rPr>
        <w:t>1）中小企业参加政府采购活动，应当出具此格式文件。《中小企业声明函》由参加政府采购活动的供应商出具。联合体响应的，《中小企业声明函》由牵头人出具。</w:t>
      </w:r>
    </w:p>
    <w:p w14:paraId="462169FA">
      <w:pPr>
        <w:tabs>
          <w:tab w:val="left" w:pos="5580"/>
        </w:tabs>
        <w:spacing w:line="360" w:lineRule="auto"/>
        <w:rPr>
          <w:rFonts w:ascii="宋体" w:hAnsi="宋体"/>
          <w:sz w:val="24"/>
        </w:rPr>
      </w:pPr>
      <w:r>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AEB6DDF">
      <w:pPr>
        <w:tabs>
          <w:tab w:val="left" w:pos="5580"/>
        </w:tabs>
        <w:spacing w:line="360" w:lineRule="auto"/>
        <w:rPr>
          <w:rFonts w:ascii="宋体" w:hAnsi="宋体"/>
          <w:sz w:val="24"/>
        </w:rPr>
      </w:pPr>
      <w:r>
        <w:rPr>
          <w:rFonts w:ascii="宋体" w:hAnsi="宋体"/>
          <w:sz w:val="24"/>
        </w:rPr>
        <w:t>3）对于多标的的采购项目，供应商应充分、准确地了解所投产品制造企业信息。对相关情况了解不清楚的，不建议填报本声明函。</w:t>
      </w:r>
    </w:p>
    <w:p w14:paraId="04E2B385">
      <w:pPr>
        <w:tabs>
          <w:tab w:val="left" w:pos="5580"/>
        </w:tabs>
        <w:spacing w:line="360" w:lineRule="auto"/>
        <w:rPr>
          <w:rFonts w:ascii="宋体" w:hAnsi="宋体"/>
          <w:sz w:val="24"/>
        </w:rPr>
      </w:pPr>
      <w:r>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080DAEF1">
      <w:pPr>
        <w:tabs>
          <w:tab w:val="left" w:pos="5580"/>
        </w:tabs>
        <w:spacing w:line="360" w:lineRule="auto"/>
        <w:rPr>
          <w:rFonts w:ascii="宋体" w:hAnsi="宋体"/>
          <w:sz w:val="24"/>
        </w:rPr>
      </w:pPr>
    </w:p>
    <w:p w14:paraId="0FFCFAD1">
      <w:pPr>
        <w:widowControl/>
        <w:jc w:val="left"/>
        <w:rPr>
          <w:rFonts w:ascii="宋体" w:hAnsi="宋体"/>
          <w:b/>
          <w:bCs/>
          <w:sz w:val="36"/>
          <w:szCs w:val="36"/>
        </w:rPr>
      </w:pPr>
      <w:r>
        <w:rPr>
          <w:rFonts w:ascii="宋体" w:hAnsi="宋体"/>
          <w:sz w:val="24"/>
        </w:rPr>
        <w:br w:type="page"/>
      </w:r>
    </w:p>
    <w:p w14:paraId="772EDE4B">
      <w:pPr>
        <w:spacing w:before="240" w:beforeLines="100" w:after="240" w:afterLines="100" w:line="360" w:lineRule="auto"/>
        <w:jc w:val="center"/>
        <w:rPr>
          <w:rFonts w:ascii="宋体" w:hAnsi="宋体"/>
          <w:b/>
          <w:bCs/>
          <w:sz w:val="36"/>
          <w:szCs w:val="36"/>
        </w:rPr>
      </w:pPr>
      <w:r>
        <w:rPr>
          <w:rFonts w:ascii="宋体" w:hAnsi="宋体"/>
          <w:b/>
          <w:bCs/>
          <w:sz w:val="36"/>
          <w:szCs w:val="36"/>
        </w:rPr>
        <w:t>中小企业声明函（工程、服务）格式</w:t>
      </w:r>
    </w:p>
    <w:p w14:paraId="5C12D031">
      <w:pPr>
        <w:spacing w:line="360" w:lineRule="auto"/>
        <w:ind w:firstLine="504"/>
        <w:rPr>
          <w:rFonts w:ascii="宋体" w:hAnsi="宋体"/>
          <w:spacing w:val="6"/>
          <w:sz w:val="24"/>
        </w:rPr>
      </w:pPr>
      <w:r>
        <w:rPr>
          <w:rFonts w:ascii="宋体" w:hAnsi="宋体"/>
          <w:spacing w:val="6"/>
          <w:sz w:val="24"/>
        </w:rPr>
        <w:t>本公司（联合体）郑重声明，根据《政府采购促进中小企业发展管理办法》（财库﹝2020</w:t>
      </w:r>
      <w:r>
        <w:rPr>
          <w:rFonts w:hint="eastAsia" w:ascii="宋体" w:hAnsi="宋体"/>
          <w:spacing w:val="6"/>
          <w:sz w:val="24"/>
        </w:rPr>
        <w:t>）</w:t>
      </w:r>
      <w:r>
        <w:rPr>
          <w:rFonts w:ascii="宋体" w:hAnsi="宋体"/>
          <w:spacing w:val="6"/>
          <w:sz w:val="24"/>
        </w:rPr>
        <w:t>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8C9C5D6">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（竞争性磋商文件中明确的所属行业）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w:t>
      </w:r>
      <w:r>
        <w:rPr>
          <w:rFonts w:ascii="宋体" w:hAnsi="宋体"/>
          <w:spacing w:val="6"/>
          <w:sz w:val="24"/>
        </w:rPr>
        <w:t>人，营业收入为</w:t>
      </w:r>
      <w:r>
        <w:rPr>
          <w:rFonts w:ascii="宋体" w:hAnsi="宋体"/>
          <w:sz w:val="24"/>
        </w:rPr>
        <w:t>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14:paraId="4FB77B02">
      <w:pPr>
        <w:spacing w:line="360" w:lineRule="auto"/>
        <w:ind w:firstLine="504"/>
        <w:rPr>
          <w:rFonts w:ascii="宋体" w:hAnsi="宋体"/>
          <w:spacing w:val="6"/>
          <w:sz w:val="24"/>
        </w:rPr>
      </w:pPr>
      <w:r>
        <w:rPr>
          <w:rFonts w:ascii="宋体" w:hAnsi="宋体"/>
          <w:spacing w:val="6"/>
          <w:sz w:val="24"/>
        </w:rPr>
        <w:t xml:space="preserve">2. </w:t>
      </w:r>
      <w:r>
        <w:rPr>
          <w:rFonts w:ascii="宋体" w:hAnsi="宋体"/>
          <w:spacing w:val="6"/>
          <w:sz w:val="24"/>
          <w:u w:val="single"/>
        </w:rPr>
        <w:t xml:space="preserve">（标的名称） </w:t>
      </w:r>
      <w:r>
        <w:rPr>
          <w:rFonts w:ascii="宋体" w:hAnsi="宋体"/>
          <w:spacing w:val="6"/>
          <w:sz w:val="24"/>
        </w:rPr>
        <w:t>，属于</w:t>
      </w:r>
      <w:r>
        <w:rPr>
          <w:rFonts w:ascii="宋体" w:hAnsi="宋体"/>
          <w:spacing w:val="6"/>
          <w:sz w:val="24"/>
          <w:u w:val="single"/>
        </w:rPr>
        <w:t>（竞争性磋商文件中明确的所属行业）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万元，属于</w:t>
      </w:r>
      <w:r>
        <w:rPr>
          <w:rFonts w:ascii="宋体" w:hAnsi="宋体"/>
          <w:spacing w:val="6"/>
          <w:sz w:val="24"/>
          <w:u w:val="single"/>
        </w:rPr>
        <w:t>（中型企业、小型企业、微型企业）</w:t>
      </w:r>
      <w:r>
        <w:rPr>
          <w:rFonts w:ascii="宋体" w:hAnsi="宋体"/>
          <w:spacing w:val="6"/>
          <w:sz w:val="24"/>
        </w:rPr>
        <w:t>；</w:t>
      </w:r>
    </w:p>
    <w:p w14:paraId="4CF6D484">
      <w:pPr>
        <w:spacing w:line="360" w:lineRule="auto"/>
        <w:ind w:firstLine="504"/>
        <w:rPr>
          <w:rFonts w:ascii="宋体" w:hAnsi="宋体"/>
          <w:spacing w:val="6"/>
          <w:sz w:val="24"/>
        </w:rPr>
      </w:pPr>
    </w:p>
    <w:p w14:paraId="3443AF29">
      <w:pPr>
        <w:spacing w:line="360" w:lineRule="auto"/>
        <w:ind w:firstLine="504"/>
        <w:rPr>
          <w:rFonts w:ascii="宋体" w:hAnsi="宋体"/>
          <w:spacing w:val="6"/>
          <w:sz w:val="24"/>
        </w:rPr>
      </w:pPr>
      <w:r>
        <w:rPr>
          <w:rFonts w:ascii="宋体" w:hAnsi="宋体"/>
          <w:spacing w:val="6"/>
          <w:sz w:val="24"/>
        </w:rPr>
        <w:t>……</w:t>
      </w:r>
    </w:p>
    <w:p w14:paraId="23A37E41">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14:paraId="522F4C98">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14:paraId="7B9A39E8">
      <w:pPr>
        <w:spacing w:line="360" w:lineRule="auto"/>
        <w:ind w:right="360" w:firstLine="480"/>
        <w:jc w:val="right"/>
        <w:rPr>
          <w:rFonts w:ascii="宋体" w:hAnsi="宋体"/>
          <w:sz w:val="24"/>
        </w:rPr>
      </w:pPr>
    </w:p>
    <w:p w14:paraId="66AC7F8D">
      <w:pPr>
        <w:spacing w:line="360" w:lineRule="auto"/>
        <w:ind w:right="360" w:firstLine="480"/>
        <w:jc w:val="right"/>
        <w:rPr>
          <w:rFonts w:ascii="宋体" w:hAnsi="宋体"/>
          <w:sz w:val="24"/>
        </w:rPr>
      </w:pPr>
      <w:r>
        <w:rPr>
          <w:rFonts w:ascii="宋体" w:hAnsi="宋体"/>
          <w:sz w:val="24"/>
        </w:rPr>
        <w:t>企业名称（盖章）：______</w:t>
      </w:r>
    </w:p>
    <w:p w14:paraId="02A6313F">
      <w:pPr>
        <w:spacing w:line="360" w:lineRule="auto"/>
        <w:ind w:right="360" w:firstLine="480"/>
        <w:jc w:val="right"/>
        <w:rPr>
          <w:rFonts w:ascii="宋体" w:hAnsi="宋体"/>
          <w:sz w:val="24"/>
        </w:rPr>
      </w:pPr>
      <w:r>
        <w:rPr>
          <w:rFonts w:ascii="宋体" w:hAnsi="宋体"/>
          <w:sz w:val="24"/>
        </w:rPr>
        <w:t>日 期：______</w:t>
      </w:r>
    </w:p>
    <w:p w14:paraId="3CBBFC61">
      <w:pPr>
        <w:adjustRightInd w:val="0"/>
        <w:snapToGrid w:val="0"/>
        <w:jc w:val="left"/>
        <w:rPr>
          <w:rFonts w:ascii="宋体" w:hAnsi="宋体"/>
          <w:sz w:val="24"/>
          <w:szCs w:val="21"/>
        </w:rPr>
      </w:pPr>
    </w:p>
    <w:p w14:paraId="12CDDB74">
      <w:pPr>
        <w:adjustRightInd w:val="0"/>
        <w:snapToGrid w:val="0"/>
        <w:jc w:val="left"/>
        <w:rPr>
          <w:rFonts w:ascii="宋体" w:hAnsi="宋体"/>
          <w:sz w:val="24"/>
          <w:szCs w:val="21"/>
        </w:rPr>
      </w:pPr>
    </w:p>
    <w:tbl>
      <w:tblPr>
        <w:tblStyle w:val="67"/>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E55208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7E689CD2">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从业人员、营业收入、资产总额填报上一年度数据，无上一年度数据的新成立企业可不填报。</w:t>
            </w:r>
          </w:p>
        </w:tc>
      </w:tr>
    </w:tbl>
    <w:p w14:paraId="72CD6E72">
      <w:pPr>
        <w:adjustRightInd w:val="0"/>
        <w:snapToGrid w:val="0"/>
        <w:jc w:val="left"/>
        <w:rPr>
          <w:rFonts w:ascii="宋体" w:hAnsi="宋体"/>
          <w:szCs w:val="21"/>
          <w:vertAlign w:val="superscript"/>
        </w:rPr>
      </w:pPr>
    </w:p>
    <w:p w14:paraId="4E130D57">
      <w:pPr>
        <w:spacing w:line="360" w:lineRule="auto"/>
        <w:ind w:right="360" w:firstLine="480"/>
        <w:jc w:val="right"/>
        <w:rPr>
          <w:rFonts w:ascii="宋体" w:hAnsi="宋体"/>
          <w:sz w:val="24"/>
        </w:rPr>
      </w:pPr>
    </w:p>
    <w:p w14:paraId="4BF39B3F">
      <w:pPr>
        <w:spacing w:line="360" w:lineRule="auto"/>
        <w:ind w:right="360" w:firstLine="480"/>
        <w:jc w:val="right"/>
        <w:rPr>
          <w:rFonts w:ascii="宋体" w:hAnsi="宋体"/>
          <w:sz w:val="24"/>
        </w:rPr>
      </w:pPr>
    </w:p>
    <w:p w14:paraId="5B979527">
      <w:pPr>
        <w:spacing w:before="240" w:beforeLines="100" w:after="240" w:afterLines="100" w:line="360" w:lineRule="auto"/>
        <w:rPr>
          <w:rFonts w:ascii="宋体" w:hAnsi="宋体"/>
          <w:b/>
          <w:bCs/>
          <w:sz w:val="36"/>
          <w:szCs w:val="36"/>
        </w:rPr>
      </w:pPr>
    </w:p>
    <w:p w14:paraId="6141EE21">
      <w:pPr>
        <w:pStyle w:val="2"/>
        <w:rPr>
          <w:rFonts w:hAnsi="宋体"/>
        </w:rPr>
      </w:pPr>
    </w:p>
    <w:p w14:paraId="39595695">
      <w:pPr>
        <w:autoSpaceDE w:val="0"/>
        <w:autoSpaceDN w:val="0"/>
        <w:adjustRightInd w:val="0"/>
        <w:spacing w:before="156" w:after="156" w:line="360" w:lineRule="auto"/>
        <w:ind w:firstLine="482" w:firstLineChars="200"/>
        <w:jc w:val="center"/>
        <w:rPr>
          <w:rFonts w:ascii="宋体" w:hAnsi="宋体" w:cs="宋体"/>
          <w:b/>
          <w:bCs/>
          <w:kern w:val="0"/>
          <w:sz w:val="24"/>
        </w:rPr>
      </w:pPr>
      <w:r>
        <w:rPr>
          <w:rFonts w:hint="eastAsia" w:ascii="宋体" w:hAnsi="宋体" w:cs="宋体"/>
          <w:b/>
          <w:bCs/>
          <w:kern w:val="0"/>
          <w:sz w:val="24"/>
        </w:rPr>
        <w:t>中小企业划型标准规定</w:t>
      </w:r>
    </w:p>
    <w:p w14:paraId="335B6FDE">
      <w:pPr>
        <w:autoSpaceDE w:val="0"/>
        <w:autoSpaceDN w:val="0"/>
        <w:adjustRightInd w:val="0"/>
        <w:spacing w:before="156" w:after="156" w:line="360" w:lineRule="auto"/>
        <w:ind w:firstLine="482" w:firstLineChars="200"/>
        <w:jc w:val="center"/>
        <w:rPr>
          <w:rFonts w:ascii="宋体" w:hAnsi="宋体" w:cs="宋体"/>
          <w:b/>
          <w:bCs/>
          <w:kern w:val="0"/>
          <w:sz w:val="24"/>
        </w:rPr>
      </w:pPr>
      <w:r>
        <w:rPr>
          <w:rFonts w:hint="eastAsia" w:ascii="宋体" w:hAnsi="宋体" w:cs="宋体"/>
          <w:b/>
          <w:bCs/>
          <w:kern w:val="0"/>
          <w:sz w:val="24"/>
        </w:rPr>
        <w:t>国家统计局关于印发《统计上大中小微型企业划分办法（2017）》的通知</w:t>
      </w:r>
    </w:p>
    <w:p w14:paraId="55DF540A">
      <w:pPr>
        <w:autoSpaceDE w:val="0"/>
        <w:autoSpaceDN w:val="0"/>
        <w:adjustRightInd w:val="0"/>
        <w:spacing w:before="156" w:after="156" w:line="360" w:lineRule="auto"/>
        <w:ind w:firstLine="482" w:firstLineChars="200"/>
        <w:jc w:val="center"/>
        <w:rPr>
          <w:rFonts w:ascii="宋体" w:hAnsi="宋体" w:cs="宋体"/>
          <w:b/>
          <w:bCs/>
          <w:kern w:val="0"/>
          <w:sz w:val="24"/>
        </w:rPr>
      </w:pPr>
      <w:r>
        <w:rPr>
          <w:rFonts w:hint="eastAsia" w:ascii="宋体" w:hAnsi="宋体" w:cs="宋体"/>
          <w:b/>
          <w:bCs/>
          <w:kern w:val="0"/>
          <w:sz w:val="24"/>
        </w:rPr>
        <w:t>国统字〔2017〕213 号</w:t>
      </w:r>
    </w:p>
    <w:p w14:paraId="73A7ECE7">
      <w:pPr>
        <w:autoSpaceDE w:val="0"/>
        <w:autoSpaceDN w:val="0"/>
        <w:adjustRightInd w:val="0"/>
        <w:spacing w:before="156" w:after="156" w:line="360" w:lineRule="auto"/>
        <w:jc w:val="left"/>
        <w:rPr>
          <w:rFonts w:ascii="宋体" w:hAnsi="宋体" w:cs="宋体"/>
          <w:kern w:val="0"/>
          <w:sz w:val="24"/>
        </w:rPr>
      </w:pPr>
      <w:r>
        <w:rPr>
          <w:rFonts w:hint="eastAsia" w:ascii="宋体" w:hAnsi="宋体" w:cs="宋体"/>
          <w:kern w:val="0"/>
          <w:sz w:val="24"/>
        </w:rPr>
        <w:t xml:space="preserve">各省、自治区、直辖市统计局，新疆生产建设兵团统计局，国务院各有关部门，国家统计局各调查总队： </w:t>
      </w:r>
    </w:p>
    <w:p w14:paraId="0C3861FE">
      <w:pPr>
        <w:autoSpaceDE w:val="0"/>
        <w:autoSpaceDN w:val="0"/>
        <w:adjustRightInd w:val="0"/>
        <w:spacing w:before="156" w:after="156" w:line="360" w:lineRule="auto"/>
        <w:ind w:firstLine="480" w:firstLineChars="200"/>
        <w:jc w:val="left"/>
        <w:rPr>
          <w:rFonts w:ascii="宋体" w:hAnsi="宋体" w:cs="宋体"/>
          <w:kern w:val="0"/>
          <w:sz w:val="24"/>
        </w:rPr>
      </w:pPr>
      <w:r>
        <w:rPr>
          <w:rFonts w:hint="eastAsia" w:ascii="宋体" w:hAnsi="宋体" w:cs="宋体"/>
          <w:kern w:val="0"/>
          <w:sz w:val="24"/>
        </w:rPr>
        <w:t xml:space="preserve">《国民经济行业分类》（GB/T 4754—2017）已正式实施，现对 2011 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14:paraId="6A13FB5A">
      <w:pPr>
        <w:autoSpaceDE w:val="0"/>
        <w:autoSpaceDN w:val="0"/>
        <w:adjustRightInd w:val="0"/>
        <w:spacing w:before="156" w:after="156" w:line="360" w:lineRule="auto"/>
        <w:jc w:val="left"/>
        <w:rPr>
          <w:rFonts w:ascii="宋体" w:hAnsi="宋体" w:cs="宋体"/>
          <w:kern w:val="0"/>
          <w:sz w:val="24"/>
        </w:rPr>
      </w:pPr>
    </w:p>
    <w:p w14:paraId="1B9EA0BC">
      <w:pPr>
        <w:autoSpaceDE w:val="0"/>
        <w:autoSpaceDN w:val="0"/>
        <w:adjustRightInd w:val="0"/>
        <w:spacing w:before="156" w:after="156" w:line="360" w:lineRule="auto"/>
        <w:ind w:firstLine="480" w:firstLineChars="200"/>
        <w:jc w:val="left"/>
        <w:rPr>
          <w:rFonts w:ascii="宋体" w:hAnsi="宋体" w:cs="宋体"/>
          <w:kern w:val="0"/>
          <w:sz w:val="24"/>
        </w:rPr>
      </w:pPr>
      <w:r>
        <w:rPr>
          <w:rFonts w:hint="eastAsia" w:ascii="宋体" w:hAnsi="宋体" w:cs="宋体"/>
          <w:kern w:val="0"/>
          <w:sz w:val="24"/>
        </w:rPr>
        <w:t xml:space="preserve">附件：《统计上大中小微型企业划分办法（2017）》修订说明国家统计局 </w:t>
      </w:r>
    </w:p>
    <w:p w14:paraId="2F891B7F">
      <w:pPr>
        <w:autoSpaceDE w:val="0"/>
        <w:autoSpaceDN w:val="0"/>
        <w:adjustRightInd w:val="0"/>
        <w:spacing w:before="156" w:after="156" w:line="360" w:lineRule="auto"/>
        <w:jc w:val="left"/>
        <w:rPr>
          <w:rFonts w:ascii="宋体" w:hAnsi="宋体" w:cs="宋体"/>
          <w:kern w:val="0"/>
          <w:sz w:val="24"/>
        </w:rPr>
      </w:pPr>
      <w:r>
        <w:rPr>
          <w:rFonts w:hint="eastAsia" w:ascii="宋体" w:hAnsi="宋体" w:cs="宋体"/>
          <w:kern w:val="0"/>
          <w:sz w:val="24"/>
        </w:rPr>
        <w:t xml:space="preserve">2017 年 12 月 28 日 </w:t>
      </w:r>
    </w:p>
    <w:p w14:paraId="39F0B0C0">
      <w:pPr>
        <w:autoSpaceDE w:val="0"/>
        <w:autoSpaceDN w:val="0"/>
        <w:adjustRightInd w:val="0"/>
        <w:spacing w:before="156" w:after="156" w:line="360" w:lineRule="auto"/>
        <w:jc w:val="left"/>
        <w:rPr>
          <w:rFonts w:ascii="宋体" w:hAnsi="宋体" w:cs="宋体"/>
          <w:kern w:val="0"/>
          <w:sz w:val="24"/>
        </w:rPr>
      </w:pPr>
    </w:p>
    <w:p w14:paraId="61B998E1">
      <w:pPr>
        <w:autoSpaceDE w:val="0"/>
        <w:autoSpaceDN w:val="0"/>
        <w:adjustRightInd w:val="0"/>
        <w:spacing w:before="156" w:after="156" w:line="360" w:lineRule="auto"/>
        <w:ind w:firstLine="480" w:firstLineChars="200"/>
        <w:jc w:val="center"/>
        <w:rPr>
          <w:rFonts w:ascii="宋体" w:hAnsi="宋体" w:cs="宋体"/>
          <w:kern w:val="0"/>
          <w:sz w:val="24"/>
        </w:rPr>
      </w:pPr>
      <w:r>
        <w:rPr>
          <w:rFonts w:hint="eastAsia" w:ascii="宋体" w:hAnsi="宋体" w:cs="宋体"/>
          <w:kern w:val="0"/>
          <w:sz w:val="24"/>
        </w:rPr>
        <w:t>统计上大中小微型企业划分办法（2017）</w:t>
      </w:r>
    </w:p>
    <w:p w14:paraId="282AD57E">
      <w:pPr>
        <w:autoSpaceDE w:val="0"/>
        <w:autoSpaceDN w:val="0"/>
        <w:adjustRightInd w:val="0"/>
        <w:spacing w:before="156" w:after="156" w:line="360" w:lineRule="auto"/>
        <w:ind w:firstLine="480" w:firstLineChars="200"/>
        <w:jc w:val="left"/>
        <w:rPr>
          <w:rFonts w:ascii="宋体" w:hAnsi="宋体" w:cs="宋体"/>
          <w:kern w:val="0"/>
          <w:sz w:val="24"/>
        </w:rPr>
      </w:pPr>
      <w:r>
        <w:rPr>
          <w:rFonts w:hint="eastAsia" w:ascii="宋体" w:hAnsi="宋体" w:cs="宋体"/>
          <w:kern w:val="0"/>
          <w:sz w:val="24"/>
        </w:rPr>
        <w:t xml:space="preserve">一、根据工业和信息化部、国家统计局、国家发展改革委、财政部《关于印发中小企业划型标准规定的通知》（工信部联企业〔2011〕300号），以《国民经济行业分类》（GB/T4754-2017）为基础，结合统计工作的实际情况，制定本办法。 </w:t>
      </w:r>
    </w:p>
    <w:p w14:paraId="0E4D0FE1">
      <w:pPr>
        <w:autoSpaceDE w:val="0"/>
        <w:autoSpaceDN w:val="0"/>
        <w:adjustRightInd w:val="0"/>
        <w:spacing w:before="156" w:after="156" w:line="360" w:lineRule="auto"/>
        <w:ind w:firstLine="480" w:firstLineChars="200"/>
        <w:jc w:val="left"/>
        <w:rPr>
          <w:rFonts w:ascii="宋体" w:hAnsi="宋体" w:cs="宋体"/>
          <w:kern w:val="0"/>
          <w:sz w:val="24"/>
        </w:rPr>
      </w:pPr>
      <w:r>
        <w:rPr>
          <w:rFonts w:hint="eastAsia" w:ascii="宋体" w:hAnsi="宋体" w:cs="宋体"/>
          <w:kern w:val="0"/>
          <w:sz w:val="24"/>
        </w:rPr>
        <w:t xml:space="preserve">二、本办法适用对象为在中华人民共和国境内依法设立的各种组织形式的法人企业或单位。个体工商户参照本办法进行划分。 </w:t>
      </w:r>
    </w:p>
    <w:p w14:paraId="3D66DAB1">
      <w:pPr>
        <w:autoSpaceDE w:val="0"/>
        <w:autoSpaceDN w:val="0"/>
        <w:adjustRightInd w:val="0"/>
        <w:spacing w:before="156" w:after="156" w:line="360" w:lineRule="auto"/>
        <w:ind w:firstLine="480" w:firstLineChars="200"/>
        <w:jc w:val="left"/>
        <w:rPr>
          <w:rFonts w:ascii="宋体" w:hAnsi="宋体" w:cs="宋体"/>
          <w:kern w:val="0"/>
          <w:sz w:val="24"/>
        </w:rPr>
      </w:pPr>
      <w:r>
        <w:rPr>
          <w:rFonts w:hint="eastAsia" w:ascii="宋体" w:hAnsi="宋体" w:cs="宋体"/>
          <w:kern w:val="0"/>
          <w:sz w:val="24"/>
        </w:rPr>
        <w:t xml:space="preserve">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 15 个行业门类以及社会工作行业大类。 </w:t>
      </w:r>
    </w:p>
    <w:p w14:paraId="2DE09BBB">
      <w:pPr>
        <w:autoSpaceDE w:val="0"/>
        <w:autoSpaceDN w:val="0"/>
        <w:adjustRightInd w:val="0"/>
        <w:spacing w:before="156" w:after="156"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四、本办法按照行业门类、大类、中类和组合类别，依据从业人员（X</w:t>
      </w:r>
      <w:r>
        <w:rPr>
          <w:rFonts w:ascii="宋体" w:hAnsi="宋体" w:cs="宋体"/>
          <w:kern w:val="0"/>
          <w:sz w:val="24"/>
        </w:rPr>
        <w:t>）</w:t>
      </w:r>
      <w:r>
        <w:rPr>
          <w:rFonts w:hint="eastAsia" w:ascii="宋体" w:hAnsi="宋体" w:cs="宋体"/>
          <w:kern w:val="0"/>
          <w:sz w:val="24"/>
        </w:rPr>
        <w:t xml:space="preserve">、营业收入、资产总额等指标或替代指标，将我国的企业划分为大型、中型、小型、微型等四种类型。具体划分标准见附表。 </w:t>
      </w:r>
    </w:p>
    <w:p w14:paraId="1CC33033">
      <w:pPr>
        <w:autoSpaceDE w:val="0"/>
        <w:autoSpaceDN w:val="0"/>
        <w:adjustRightInd w:val="0"/>
        <w:spacing w:before="156" w:after="156" w:line="360" w:lineRule="auto"/>
        <w:ind w:firstLine="480" w:firstLineChars="200"/>
        <w:jc w:val="left"/>
        <w:rPr>
          <w:rFonts w:ascii="宋体" w:hAnsi="宋体" w:cs="宋体"/>
          <w:kern w:val="0"/>
          <w:sz w:val="24"/>
        </w:rPr>
      </w:pPr>
      <w:r>
        <w:rPr>
          <w:rFonts w:hint="eastAsia" w:ascii="宋体" w:hAnsi="宋体" w:cs="宋体"/>
          <w:kern w:val="0"/>
          <w:sz w:val="24"/>
        </w:rPr>
        <w:t xml:space="preserve">五、企业划分由政府综合统计部门根据统计年报每年确定一次，定报统计原则上不进行调整。 </w:t>
      </w:r>
    </w:p>
    <w:p w14:paraId="071CD126">
      <w:pPr>
        <w:autoSpaceDE w:val="0"/>
        <w:autoSpaceDN w:val="0"/>
        <w:adjustRightInd w:val="0"/>
        <w:spacing w:before="156" w:after="156" w:line="360" w:lineRule="auto"/>
        <w:ind w:firstLine="480" w:firstLineChars="200"/>
        <w:jc w:val="left"/>
        <w:rPr>
          <w:rFonts w:ascii="宋体" w:hAnsi="宋体" w:cs="宋体"/>
          <w:kern w:val="0"/>
          <w:sz w:val="24"/>
        </w:rPr>
      </w:pPr>
      <w:r>
        <w:rPr>
          <w:rFonts w:hint="eastAsia" w:ascii="宋体" w:hAnsi="宋体" w:cs="宋体"/>
          <w:kern w:val="0"/>
          <w:sz w:val="24"/>
        </w:rPr>
        <w:t xml:space="preserve">六、本办法自印发之日起执行，国家统计局 2011 年印发的《统计上大中小微型企业划分办法》（国统字〔2011〕75 号）同时废止。 </w:t>
      </w:r>
    </w:p>
    <w:p w14:paraId="77905041">
      <w:pPr>
        <w:widowControl/>
        <w:spacing w:before="156" w:after="156" w:line="360" w:lineRule="auto"/>
        <w:ind w:left="1240" w:hanging="1240"/>
        <w:jc w:val="left"/>
        <w:rPr>
          <w:rFonts w:ascii="宋体" w:hAnsi="宋体" w:cs="宋体"/>
          <w:kern w:val="0"/>
          <w:sz w:val="31"/>
          <w:szCs w:val="31"/>
        </w:rPr>
      </w:pPr>
    </w:p>
    <w:p w14:paraId="7663C951">
      <w:pPr>
        <w:widowControl/>
        <w:spacing w:before="156" w:after="156" w:line="360" w:lineRule="auto"/>
        <w:ind w:left="1240" w:hanging="1240"/>
        <w:jc w:val="left"/>
        <w:rPr>
          <w:rFonts w:ascii="宋体" w:hAnsi="宋体" w:cs="宋体"/>
          <w:kern w:val="0"/>
          <w:sz w:val="31"/>
          <w:szCs w:val="31"/>
        </w:rPr>
      </w:pPr>
    </w:p>
    <w:p w14:paraId="6D2F246E">
      <w:pPr>
        <w:widowControl/>
        <w:spacing w:before="156" w:after="156" w:line="360" w:lineRule="auto"/>
        <w:ind w:left="1240" w:hanging="1240"/>
        <w:jc w:val="left"/>
        <w:rPr>
          <w:rFonts w:ascii="宋体" w:hAnsi="宋体" w:cs="宋体"/>
          <w:kern w:val="0"/>
          <w:sz w:val="31"/>
          <w:szCs w:val="31"/>
        </w:rPr>
      </w:pPr>
    </w:p>
    <w:p w14:paraId="4495817A">
      <w:pPr>
        <w:widowControl/>
        <w:spacing w:before="156" w:after="156" w:line="360" w:lineRule="auto"/>
        <w:ind w:left="1240" w:hanging="1240"/>
        <w:jc w:val="left"/>
        <w:rPr>
          <w:rFonts w:ascii="宋体" w:hAnsi="宋体" w:cs="宋体"/>
          <w:kern w:val="0"/>
          <w:sz w:val="31"/>
          <w:szCs w:val="31"/>
        </w:rPr>
      </w:pPr>
    </w:p>
    <w:p w14:paraId="3695065A">
      <w:pPr>
        <w:widowControl/>
        <w:spacing w:before="156" w:after="156" w:line="360" w:lineRule="auto"/>
        <w:ind w:left="1240" w:hanging="1240"/>
        <w:jc w:val="left"/>
        <w:rPr>
          <w:rFonts w:ascii="宋体" w:hAnsi="宋体" w:cs="宋体"/>
          <w:kern w:val="0"/>
          <w:sz w:val="31"/>
          <w:szCs w:val="31"/>
        </w:rPr>
      </w:pPr>
    </w:p>
    <w:p w14:paraId="0E218D28">
      <w:pPr>
        <w:widowControl/>
        <w:spacing w:before="156" w:after="156" w:line="360" w:lineRule="auto"/>
        <w:ind w:left="1240" w:hanging="1240"/>
        <w:jc w:val="left"/>
        <w:rPr>
          <w:rFonts w:ascii="宋体" w:hAnsi="宋体" w:cs="宋体"/>
          <w:kern w:val="0"/>
          <w:sz w:val="31"/>
          <w:szCs w:val="31"/>
        </w:rPr>
      </w:pPr>
    </w:p>
    <w:p w14:paraId="3830DE92">
      <w:pPr>
        <w:widowControl/>
        <w:spacing w:before="156" w:after="156" w:line="360" w:lineRule="auto"/>
        <w:ind w:left="1240" w:hanging="1240"/>
        <w:jc w:val="left"/>
        <w:rPr>
          <w:rFonts w:ascii="宋体" w:hAnsi="宋体" w:cs="宋体"/>
          <w:kern w:val="0"/>
          <w:sz w:val="31"/>
          <w:szCs w:val="31"/>
        </w:rPr>
      </w:pPr>
    </w:p>
    <w:p w14:paraId="45D752DE">
      <w:pPr>
        <w:widowControl/>
        <w:spacing w:before="156" w:after="156" w:line="360" w:lineRule="auto"/>
        <w:ind w:left="1240" w:hanging="1240"/>
        <w:jc w:val="left"/>
        <w:rPr>
          <w:rFonts w:ascii="宋体" w:hAnsi="宋体" w:cs="宋体"/>
          <w:kern w:val="0"/>
          <w:sz w:val="31"/>
          <w:szCs w:val="31"/>
        </w:rPr>
      </w:pPr>
    </w:p>
    <w:p w14:paraId="7092E197">
      <w:pPr>
        <w:widowControl/>
        <w:spacing w:before="156" w:after="156" w:line="360" w:lineRule="auto"/>
        <w:ind w:left="1240" w:hanging="1240"/>
        <w:jc w:val="left"/>
        <w:rPr>
          <w:rFonts w:ascii="宋体" w:hAnsi="宋体" w:cs="宋体"/>
          <w:kern w:val="0"/>
          <w:sz w:val="31"/>
          <w:szCs w:val="31"/>
        </w:rPr>
      </w:pPr>
    </w:p>
    <w:p w14:paraId="4DE560FB">
      <w:pPr>
        <w:pStyle w:val="60"/>
        <w:spacing w:before="156" w:after="156" w:line="360" w:lineRule="auto"/>
        <w:rPr>
          <w:rFonts w:cs="宋体"/>
        </w:rPr>
      </w:pPr>
    </w:p>
    <w:p w14:paraId="73C65239">
      <w:pPr>
        <w:pStyle w:val="60"/>
        <w:spacing w:before="156" w:after="156" w:line="360" w:lineRule="auto"/>
        <w:rPr>
          <w:rFonts w:cs="宋体"/>
        </w:rPr>
      </w:pPr>
    </w:p>
    <w:p w14:paraId="080A802F">
      <w:pPr>
        <w:widowControl/>
        <w:jc w:val="left"/>
        <w:outlineLvl w:val="2"/>
        <w:rPr>
          <w:rFonts w:ascii="宋体" w:hAnsi="宋体"/>
          <w:sz w:val="24"/>
        </w:rPr>
      </w:pPr>
      <w:r>
        <w:rPr>
          <w:rFonts w:hint="eastAsia" w:ascii="宋体" w:hAnsi="宋体"/>
          <w:sz w:val="24"/>
          <w:szCs w:val="20"/>
        </w:rPr>
        <w:t>-2其它落实政府采购政策的资格要求（如有）</w:t>
      </w:r>
      <w:r>
        <w:rPr>
          <w:rFonts w:ascii="宋体" w:hAnsi="宋体"/>
          <w:sz w:val="24"/>
          <w:szCs w:val="20"/>
        </w:rPr>
        <w:br w:type="page"/>
      </w:r>
    </w:p>
    <w:p w14:paraId="15E43782">
      <w:pPr>
        <w:pStyle w:val="272"/>
        <w:numPr>
          <w:ilvl w:val="0"/>
          <w:numId w:val="24"/>
        </w:numPr>
        <w:tabs>
          <w:tab w:val="left" w:pos="360"/>
        </w:tabs>
        <w:snapToGrid w:val="0"/>
        <w:spacing w:line="360" w:lineRule="auto"/>
        <w:ind w:firstLineChars="0"/>
        <w:outlineLvl w:val="1"/>
        <w:rPr>
          <w:rFonts w:ascii="宋体" w:hAnsi="宋体"/>
          <w:sz w:val="24"/>
        </w:rPr>
      </w:pPr>
      <w:r>
        <w:rPr>
          <w:rFonts w:ascii="宋体" w:hAnsi="宋体"/>
          <w:sz w:val="24"/>
        </w:rPr>
        <w:t>本项目的特定资格要求</w:t>
      </w:r>
    </w:p>
    <w:p w14:paraId="6F32450C">
      <w:pPr>
        <w:spacing w:line="360" w:lineRule="auto"/>
        <w:outlineLvl w:val="2"/>
        <w:rPr>
          <w:rFonts w:ascii="宋体" w:hAnsi="宋体"/>
          <w:sz w:val="24"/>
          <w:szCs w:val="20"/>
        </w:rPr>
      </w:pPr>
      <w:r>
        <w:rPr>
          <w:rFonts w:ascii="宋体" w:hAnsi="宋体"/>
          <w:sz w:val="24"/>
          <w:szCs w:val="20"/>
        </w:rPr>
        <w:t>3-1其他特定资格要求</w:t>
      </w:r>
    </w:p>
    <w:p w14:paraId="768FE0DB">
      <w:pPr>
        <w:pStyle w:val="272"/>
        <w:numPr>
          <w:ilvl w:val="0"/>
          <w:numId w:val="26"/>
        </w:numPr>
        <w:tabs>
          <w:tab w:val="left" w:pos="5580"/>
        </w:tabs>
        <w:spacing w:line="360" w:lineRule="auto"/>
        <w:ind w:firstLineChars="0"/>
        <w:rPr>
          <w:rFonts w:ascii="宋体" w:hAnsi="宋体" w:cs="宋体"/>
          <w:sz w:val="24"/>
        </w:rPr>
      </w:pPr>
      <w:r>
        <w:rPr>
          <w:rFonts w:hint="eastAsia" w:ascii="宋体" w:hAnsi="宋体" w:cs="宋体"/>
          <w:sz w:val="24"/>
        </w:rPr>
        <w:t>供应商需提供建筑工程施工总承包三级[新]及以上资质、有效的《安全生产许可证》；若供应商为外地企业，须办理有效的进京备案许可；</w:t>
      </w:r>
    </w:p>
    <w:p w14:paraId="08B2295F">
      <w:pPr>
        <w:pStyle w:val="272"/>
        <w:numPr>
          <w:ilvl w:val="0"/>
          <w:numId w:val="26"/>
        </w:numPr>
        <w:tabs>
          <w:tab w:val="left" w:pos="5580"/>
        </w:tabs>
        <w:spacing w:line="360" w:lineRule="auto"/>
        <w:ind w:firstLineChars="0"/>
        <w:rPr>
          <w:rFonts w:ascii="宋体" w:hAnsi="宋体" w:cs="宋体"/>
          <w:sz w:val="24"/>
        </w:rPr>
      </w:pPr>
      <w:r>
        <w:rPr>
          <w:rFonts w:hint="eastAsia" w:ascii="宋体" w:hAnsi="宋体" w:cs="宋体"/>
          <w:sz w:val="24"/>
        </w:rPr>
        <w:t>供应商拟派项目经理须提供建筑工程专业二级及以上注册证书及执业资格证书、有效的安全生产考核合格证书（B本）；若供应商为外地企业，项目经理须通过进京备案。</w:t>
      </w:r>
    </w:p>
    <w:p w14:paraId="35E9E612">
      <w:pPr>
        <w:pStyle w:val="272"/>
        <w:numPr>
          <w:ilvl w:val="0"/>
          <w:numId w:val="26"/>
        </w:numPr>
        <w:tabs>
          <w:tab w:val="left" w:pos="5580"/>
        </w:tabs>
        <w:spacing w:line="360" w:lineRule="auto"/>
        <w:ind w:firstLineChars="0"/>
        <w:rPr>
          <w:rFonts w:ascii="宋体" w:hAnsi="宋体" w:cs="宋体"/>
          <w:sz w:val="24"/>
        </w:rPr>
      </w:pPr>
      <w:r>
        <w:rPr>
          <w:rFonts w:hint="eastAsia" w:ascii="宋体" w:hAnsi="宋体" w:cs="宋体"/>
          <w:sz w:val="24"/>
        </w:rPr>
        <w:t>供应商都需提供单位负责人为同一人或者存在直接控股、管理关系的不同供应商，未同时参加本项目的承诺书</w:t>
      </w:r>
    </w:p>
    <w:p w14:paraId="692C2218">
      <w:pPr>
        <w:tabs>
          <w:tab w:val="left" w:pos="5580"/>
        </w:tabs>
        <w:spacing w:line="360" w:lineRule="auto"/>
        <w:ind w:firstLine="240" w:firstLineChars="100"/>
        <w:rPr>
          <w:rFonts w:ascii="宋体" w:hAnsi="宋体" w:cs="宋体"/>
          <w:sz w:val="24"/>
        </w:rPr>
      </w:pPr>
    </w:p>
    <w:p w14:paraId="5D24DF97">
      <w:pPr>
        <w:tabs>
          <w:tab w:val="left" w:pos="5580"/>
        </w:tabs>
        <w:spacing w:line="360" w:lineRule="auto"/>
        <w:ind w:firstLine="240" w:firstLineChars="100"/>
        <w:rPr>
          <w:rFonts w:ascii="宋体" w:hAnsi="宋体" w:cs="宋体"/>
          <w:sz w:val="24"/>
        </w:rPr>
      </w:pPr>
    </w:p>
    <w:p w14:paraId="6AA27AC5">
      <w:pPr>
        <w:tabs>
          <w:tab w:val="left" w:pos="5580"/>
        </w:tabs>
        <w:spacing w:line="360" w:lineRule="auto"/>
        <w:ind w:firstLine="240" w:firstLineChars="100"/>
        <w:rPr>
          <w:rFonts w:ascii="宋体" w:hAnsi="宋体" w:cs="宋体"/>
          <w:sz w:val="24"/>
        </w:rPr>
      </w:pPr>
    </w:p>
    <w:p w14:paraId="764CCC60">
      <w:pPr>
        <w:tabs>
          <w:tab w:val="left" w:pos="5580"/>
        </w:tabs>
        <w:spacing w:line="360" w:lineRule="auto"/>
        <w:ind w:firstLine="241" w:firstLineChars="100"/>
        <w:rPr>
          <w:rFonts w:ascii="宋体" w:hAnsi="宋体" w:cs="宋体"/>
          <w:b/>
          <w:bCs/>
          <w:sz w:val="24"/>
        </w:rPr>
      </w:pPr>
      <w:r>
        <w:rPr>
          <w:rFonts w:hint="eastAsia" w:ascii="宋体" w:hAnsi="宋体" w:cs="宋体"/>
          <w:b/>
          <w:bCs/>
          <w:sz w:val="24"/>
        </w:rPr>
        <w:t>以上所提供的证明材料均需加盖单位公章。</w:t>
      </w:r>
    </w:p>
    <w:p w14:paraId="7B4985E4">
      <w:pPr>
        <w:widowControl/>
        <w:jc w:val="left"/>
        <w:rPr>
          <w:rFonts w:ascii="宋体" w:hAnsi="宋体"/>
          <w:sz w:val="24"/>
          <w:szCs w:val="20"/>
        </w:rPr>
      </w:pPr>
      <w:r>
        <w:rPr>
          <w:rFonts w:ascii="宋体" w:hAnsi="宋体"/>
          <w:sz w:val="24"/>
          <w:szCs w:val="20"/>
        </w:rPr>
        <w:br w:type="page"/>
      </w:r>
    </w:p>
    <w:p w14:paraId="4EA28851">
      <w:pPr>
        <w:pStyle w:val="272"/>
        <w:numPr>
          <w:ilvl w:val="0"/>
          <w:numId w:val="24"/>
        </w:numPr>
        <w:tabs>
          <w:tab w:val="left" w:pos="360"/>
        </w:tabs>
        <w:snapToGrid w:val="0"/>
        <w:spacing w:line="360" w:lineRule="auto"/>
        <w:ind w:firstLineChars="0"/>
        <w:outlineLvl w:val="1"/>
        <w:rPr>
          <w:rFonts w:ascii="宋体" w:hAnsi="宋体"/>
          <w:sz w:val="24"/>
        </w:rPr>
      </w:pPr>
      <w:bookmarkStart w:id="2429" w:name="_Hlt520274393"/>
      <w:bookmarkEnd w:id="2429"/>
      <w:bookmarkStart w:id="2430" w:name="_Hlt520274121"/>
      <w:bookmarkEnd w:id="2430"/>
      <w:bookmarkStart w:id="2431" w:name="_Hlt520274065"/>
      <w:bookmarkEnd w:id="2431"/>
      <w:bookmarkStart w:id="2432" w:name="_Hlt520343392"/>
      <w:bookmarkEnd w:id="2432"/>
      <w:bookmarkStart w:id="2433" w:name="_Hlt520271212"/>
      <w:bookmarkEnd w:id="2433"/>
      <w:bookmarkStart w:id="2434" w:name="_Hlt520274407"/>
      <w:bookmarkEnd w:id="2434"/>
      <w:bookmarkStart w:id="2435" w:name="_Hlt520355504"/>
      <w:bookmarkEnd w:id="2435"/>
      <w:bookmarkStart w:id="2436" w:name="_Hlt520350918"/>
      <w:bookmarkEnd w:id="2436"/>
      <w:bookmarkStart w:id="2437" w:name="_Hlt520343000"/>
      <w:bookmarkEnd w:id="2437"/>
      <w:bookmarkStart w:id="2438" w:name="_Hlt520273711"/>
      <w:bookmarkEnd w:id="2438"/>
      <w:bookmarkStart w:id="2439" w:name="_Toc226965829"/>
      <w:bookmarkStart w:id="2440" w:name="_Toc150774761"/>
      <w:bookmarkStart w:id="2441" w:name="_Toc226309800"/>
      <w:bookmarkStart w:id="2442" w:name="_Toc150480794"/>
      <w:bookmarkStart w:id="2443" w:name="_Toc226337252"/>
      <w:bookmarkStart w:id="2444" w:name="_Toc142311058"/>
      <w:bookmarkStart w:id="2445" w:name="_Toc520356217"/>
      <w:bookmarkStart w:id="2446" w:name="_Toc226965746"/>
      <w:bookmarkStart w:id="2447" w:name="_Toc195842921"/>
      <w:bookmarkStart w:id="2448" w:name="_Toc127151556"/>
      <w:r>
        <w:rPr>
          <w:rFonts w:ascii="宋体" w:hAnsi="宋体"/>
          <w:sz w:val="24"/>
        </w:rPr>
        <w:t>响应书</w:t>
      </w:r>
      <w:bookmarkEnd w:id="2439"/>
      <w:bookmarkEnd w:id="2440"/>
      <w:bookmarkEnd w:id="2441"/>
      <w:bookmarkEnd w:id="2442"/>
      <w:bookmarkEnd w:id="2443"/>
      <w:bookmarkEnd w:id="2444"/>
      <w:bookmarkEnd w:id="2445"/>
      <w:bookmarkEnd w:id="2446"/>
      <w:bookmarkEnd w:id="2447"/>
      <w:bookmarkEnd w:id="2448"/>
    </w:p>
    <w:p w14:paraId="4C547B71">
      <w:pPr>
        <w:tabs>
          <w:tab w:val="left" w:pos="5580"/>
        </w:tabs>
        <w:spacing w:line="360" w:lineRule="auto"/>
        <w:rPr>
          <w:rFonts w:ascii="宋体" w:hAnsi="宋体"/>
          <w:sz w:val="24"/>
        </w:rPr>
      </w:pPr>
    </w:p>
    <w:p w14:paraId="60108D18">
      <w:pPr>
        <w:spacing w:line="360" w:lineRule="auto"/>
        <w:jc w:val="center"/>
        <w:rPr>
          <w:rFonts w:ascii="宋体" w:hAnsi="宋体"/>
          <w:b/>
          <w:sz w:val="36"/>
          <w:szCs w:val="36"/>
        </w:rPr>
      </w:pPr>
      <w:r>
        <w:rPr>
          <w:rFonts w:hint="eastAsia" w:ascii="宋体" w:hAnsi="宋体"/>
          <w:b/>
          <w:sz w:val="36"/>
          <w:szCs w:val="36"/>
        </w:rPr>
        <w:t>响应书</w:t>
      </w:r>
    </w:p>
    <w:p w14:paraId="7601B2E6">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3A3911F3">
      <w:pPr>
        <w:tabs>
          <w:tab w:val="left" w:pos="5580"/>
        </w:tabs>
        <w:spacing w:line="360" w:lineRule="auto"/>
        <w:rPr>
          <w:rFonts w:ascii="宋体" w:hAnsi="宋体"/>
          <w:sz w:val="24"/>
          <w:szCs w:val="20"/>
        </w:rPr>
      </w:pPr>
    </w:p>
    <w:p w14:paraId="3A725C70">
      <w:pPr>
        <w:tabs>
          <w:tab w:val="left" w:pos="5580"/>
        </w:tabs>
        <w:spacing w:line="360" w:lineRule="auto"/>
        <w:ind w:left="420" w:firstLine="720" w:firstLineChars="300"/>
        <w:rPr>
          <w:rFonts w:ascii="宋体" w:hAnsi="宋体"/>
          <w:sz w:val="24"/>
          <w:szCs w:val="20"/>
        </w:rPr>
      </w:pPr>
      <w:r>
        <w:rPr>
          <w:rFonts w:ascii="宋体" w:hAnsi="宋体"/>
          <w:sz w:val="24"/>
          <w:szCs w:val="20"/>
        </w:rPr>
        <w:t>我方参加你方就</w:t>
      </w:r>
      <w:r>
        <w:rPr>
          <w:rFonts w:ascii="宋体" w:hAnsi="宋体"/>
          <w:bCs/>
          <w:sz w:val="24"/>
        </w:rPr>
        <w:t>_________________________</w:t>
      </w:r>
      <w:r>
        <w:rPr>
          <w:rFonts w:ascii="宋体" w:hAnsi="宋体"/>
          <w:sz w:val="24"/>
          <w:szCs w:val="20"/>
        </w:rPr>
        <w:t>（项目名称，项目编号</w:t>
      </w:r>
      <w:r>
        <w:rPr>
          <w:rFonts w:hint="eastAsia" w:ascii="宋体" w:hAnsi="宋体"/>
          <w:sz w:val="24"/>
          <w:szCs w:val="20"/>
        </w:rPr>
        <w:t>，标的名称，</w:t>
      </w:r>
      <w:r>
        <w:rPr>
          <w:rFonts w:ascii="宋体" w:hAnsi="宋体"/>
          <w:sz w:val="24"/>
          <w:szCs w:val="20"/>
        </w:rPr>
        <w:t>包号）组织的采购活动，并对此项目进行磋商。</w:t>
      </w:r>
    </w:p>
    <w:p w14:paraId="50510143">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4EAA599B">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（1）本响应有效期为自提交响应文件的截止之日起</w:t>
      </w:r>
      <w:r>
        <w:rPr>
          <w:rFonts w:ascii="宋体" w:hAnsi="宋体"/>
          <w:sz w:val="24"/>
        </w:rPr>
        <w:t>______</w:t>
      </w:r>
      <w:r>
        <w:rPr>
          <w:rFonts w:ascii="宋体" w:hAnsi="宋体"/>
          <w:sz w:val="24"/>
          <w:szCs w:val="20"/>
        </w:rPr>
        <w:t>个日历日。</w:t>
      </w:r>
    </w:p>
    <w:p w14:paraId="783C6938">
      <w:pPr>
        <w:tabs>
          <w:tab w:val="left" w:pos="720"/>
          <w:tab w:val="left" w:pos="900"/>
        </w:tabs>
        <w:spacing w:line="360" w:lineRule="auto"/>
        <w:ind w:left="360" w:firstLine="72" w:firstLineChars="30"/>
        <w:rPr>
          <w:rFonts w:ascii="宋体" w:hAnsi="宋体"/>
          <w:sz w:val="24"/>
          <w:szCs w:val="20"/>
        </w:rPr>
      </w:pPr>
      <w:r>
        <w:rPr>
          <w:rFonts w:ascii="宋体" w:hAnsi="宋体"/>
          <w:sz w:val="24"/>
          <w:szCs w:val="20"/>
        </w:rPr>
        <w:t>（2）除合同条款及采购需求偏离表列出的偏离外，我方响应竞争性磋商文件的全部要求。</w:t>
      </w:r>
    </w:p>
    <w:p w14:paraId="409D8859">
      <w:pPr>
        <w:tabs>
          <w:tab w:val="left" w:pos="5580"/>
        </w:tabs>
        <w:spacing w:line="360" w:lineRule="auto"/>
        <w:ind w:firstLine="420" w:firstLineChars="175"/>
        <w:rPr>
          <w:rFonts w:ascii="宋体" w:hAnsi="宋体"/>
          <w:sz w:val="24"/>
          <w:szCs w:val="20"/>
        </w:rPr>
      </w:pPr>
      <w:r>
        <w:rPr>
          <w:rFonts w:ascii="宋体" w:hAnsi="宋体"/>
          <w:sz w:val="24"/>
          <w:szCs w:val="20"/>
        </w:rPr>
        <w:t>（3）我方已提供的全部文件资料是真实、准确的，并对此承担一切法律后果。</w:t>
      </w:r>
    </w:p>
    <w:p w14:paraId="768493AC">
      <w:pPr>
        <w:tabs>
          <w:tab w:val="left" w:pos="5580"/>
        </w:tabs>
        <w:spacing w:line="360" w:lineRule="auto"/>
        <w:ind w:firstLine="420" w:firstLineChars="175"/>
        <w:rPr>
          <w:rFonts w:ascii="宋体" w:hAnsi="宋体"/>
          <w:sz w:val="24"/>
          <w:szCs w:val="20"/>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5722296A">
      <w:pPr>
        <w:tabs>
          <w:tab w:val="left" w:pos="5580"/>
        </w:tabs>
        <w:spacing w:line="360" w:lineRule="auto"/>
        <w:ind w:firstLine="420" w:firstLineChars="175"/>
        <w:rPr>
          <w:rFonts w:ascii="宋体" w:hAnsi="宋体"/>
          <w:sz w:val="24"/>
        </w:rPr>
      </w:pPr>
      <w:r>
        <w:rPr>
          <w:rFonts w:hint="eastAsia" w:ascii="宋体" w:hAnsi="宋体"/>
          <w:sz w:val="24"/>
        </w:rPr>
        <w:t>（5）我方保证按竞争性磋商文件中规定的工期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日历天完成并移交全部项目，施工现场安全生产标准化管理目标达到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等级。</w:t>
      </w:r>
    </w:p>
    <w:p w14:paraId="549BB221">
      <w:pPr>
        <w:spacing w:line="360" w:lineRule="auto"/>
        <w:ind w:left="420"/>
        <w:rPr>
          <w:rFonts w:ascii="宋体" w:hAnsi="宋体"/>
          <w:sz w:val="24"/>
        </w:rPr>
      </w:pPr>
      <w:r>
        <w:rPr>
          <w:rFonts w:ascii="宋体" w:hAnsi="宋体"/>
          <w:sz w:val="24"/>
        </w:rPr>
        <w:t>2. 其他补充条款（如有）：______。</w:t>
      </w:r>
    </w:p>
    <w:p w14:paraId="740D8808">
      <w:pPr>
        <w:spacing w:line="360" w:lineRule="auto"/>
        <w:ind w:firstLine="480" w:firstLineChars="200"/>
        <w:rPr>
          <w:rFonts w:ascii="宋体" w:hAnsi="宋体"/>
          <w:sz w:val="24"/>
        </w:rPr>
      </w:pPr>
      <w:r>
        <w:rPr>
          <w:rFonts w:ascii="宋体" w:hAnsi="宋体"/>
          <w:sz w:val="24"/>
        </w:rPr>
        <w:t>与本磋商有关的一切正式往来信函请寄：</w:t>
      </w:r>
    </w:p>
    <w:p w14:paraId="46289843">
      <w:pPr>
        <w:tabs>
          <w:tab w:val="left" w:pos="5580"/>
        </w:tabs>
        <w:spacing w:line="360" w:lineRule="auto"/>
        <w:ind w:left="420"/>
        <w:rPr>
          <w:rFonts w:ascii="宋体" w:hAnsi="宋体"/>
          <w:sz w:val="24"/>
          <w:szCs w:val="20"/>
        </w:rPr>
      </w:pPr>
    </w:p>
    <w:p w14:paraId="1E6617D6">
      <w:pPr>
        <w:tabs>
          <w:tab w:val="left" w:pos="5580"/>
        </w:tabs>
        <w:spacing w:line="360" w:lineRule="auto"/>
        <w:ind w:left="420"/>
        <w:rPr>
          <w:rFonts w:ascii="宋体" w:hAnsi="宋体"/>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 xml:space="preserve">    传   真</w:t>
      </w:r>
      <w:r>
        <w:rPr>
          <w:rFonts w:ascii="宋体" w:hAnsi="宋体"/>
          <w:bCs/>
          <w:sz w:val="24"/>
        </w:rPr>
        <w:t>_________________________</w:t>
      </w:r>
    </w:p>
    <w:p w14:paraId="4DAD29E2">
      <w:pPr>
        <w:tabs>
          <w:tab w:val="left" w:pos="5580"/>
        </w:tabs>
        <w:spacing w:line="360" w:lineRule="auto"/>
        <w:ind w:left="420"/>
        <w:rPr>
          <w:rFonts w:ascii="宋体" w:hAnsi="宋体"/>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 xml:space="preserve">   电子函件</w:t>
      </w:r>
      <w:r>
        <w:rPr>
          <w:rFonts w:ascii="宋体" w:hAnsi="宋体"/>
          <w:bCs/>
          <w:sz w:val="24"/>
        </w:rPr>
        <w:t>_________________________</w:t>
      </w:r>
    </w:p>
    <w:p w14:paraId="072CA556">
      <w:pPr>
        <w:tabs>
          <w:tab w:val="left" w:pos="5580"/>
        </w:tabs>
        <w:spacing w:line="360" w:lineRule="auto"/>
        <w:rPr>
          <w:rFonts w:ascii="宋体" w:hAnsi="宋体"/>
          <w:sz w:val="24"/>
          <w:szCs w:val="20"/>
        </w:rPr>
      </w:pPr>
    </w:p>
    <w:p w14:paraId="56CF8CBD">
      <w:pPr>
        <w:tabs>
          <w:tab w:val="left" w:pos="5580"/>
        </w:tabs>
        <w:spacing w:line="360" w:lineRule="auto"/>
        <w:ind w:left="420"/>
        <w:rPr>
          <w:rFonts w:ascii="宋体" w:hAnsi="宋体"/>
          <w:sz w:val="24"/>
          <w:szCs w:val="20"/>
        </w:rPr>
      </w:pPr>
    </w:p>
    <w:p w14:paraId="735706D9">
      <w:pPr>
        <w:autoSpaceDE w:val="0"/>
        <w:autoSpaceDN w:val="0"/>
        <w:adjustRightInd w:val="0"/>
        <w:snapToGrid w:val="0"/>
        <w:spacing w:before="25" w:after="25" w:line="360" w:lineRule="auto"/>
        <w:ind w:right="360" w:firstLine="360" w:firstLineChars="150"/>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6CAEAB04">
      <w:pPr>
        <w:tabs>
          <w:tab w:val="left" w:pos="5580"/>
        </w:tabs>
        <w:spacing w:line="360" w:lineRule="auto"/>
        <w:ind w:firstLine="360" w:firstLineChars="150"/>
        <w:rPr>
          <w:rFonts w:ascii="宋体" w:hAnsi="宋体"/>
          <w:sz w:val="24"/>
          <w:szCs w:val="20"/>
        </w:rPr>
      </w:pPr>
      <w:r>
        <w:rPr>
          <w:rFonts w:ascii="宋体" w:hAnsi="宋体"/>
          <w:sz w:val="24"/>
          <w:szCs w:val="20"/>
        </w:rPr>
        <w:t xml:space="preserve">日期：____年____月____日  </w:t>
      </w:r>
    </w:p>
    <w:p w14:paraId="03E39FC9">
      <w:pPr>
        <w:tabs>
          <w:tab w:val="left" w:pos="5580"/>
        </w:tabs>
        <w:spacing w:line="360" w:lineRule="auto"/>
        <w:ind w:left="420"/>
        <w:jc w:val="left"/>
        <w:rPr>
          <w:rFonts w:ascii="宋体" w:hAnsi="宋体"/>
          <w:sz w:val="24"/>
          <w:szCs w:val="20"/>
        </w:rPr>
      </w:pPr>
    </w:p>
    <w:p w14:paraId="4E7581B7">
      <w:pPr>
        <w:widowControl/>
        <w:jc w:val="left"/>
        <w:rPr>
          <w:rFonts w:ascii="宋体" w:hAnsi="宋体"/>
          <w:sz w:val="24"/>
        </w:rPr>
      </w:pPr>
      <w:r>
        <w:rPr>
          <w:rFonts w:ascii="宋体" w:hAnsi="宋体"/>
          <w:b/>
          <w:sz w:val="24"/>
          <w:szCs w:val="20"/>
        </w:rPr>
        <w:br w:type="page"/>
      </w:r>
      <w:bookmarkStart w:id="2449" w:name="_Hlt520355938"/>
      <w:bookmarkEnd w:id="2449"/>
      <w:bookmarkStart w:id="2450" w:name="_Hlt520356243"/>
      <w:bookmarkEnd w:id="2450"/>
      <w:bookmarkStart w:id="2451" w:name="_Toc226309801"/>
      <w:bookmarkStart w:id="2452" w:name="_Toc127151557"/>
      <w:bookmarkStart w:id="2453" w:name="_Toc142311059"/>
      <w:bookmarkStart w:id="2454" w:name="_Toc195842922"/>
      <w:bookmarkStart w:id="2455" w:name="_Toc305158899"/>
      <w:bookmarkStart w:id="2456" w:name="_Toc226965830"/>
      <w:bookmarkStart w:id="2457" w:name="_Toc265228395"/>
      <w:bookmarkStart w:id="2458" w:name="_Ref467988705"/>
      <w:bookmarkStart w:id="2459" w:name="_Toc226965747"/>
      <w:bookmarkStart w:id="2460" w:name="_Toc264969247"/>
      <w:bookmarkStart w:id="2461" w:name="_Toc150774762"/>
      <w:bookmarkStart w:id="2462" w:name="_Toc480942350"/>
      <w:bookmarkStart w:id="2463" w:name="_Toc305158825"/>
      <w:bookmarkStart w:id="2464" w:name="_Toc226337253"/>
      <w:bookmarkStart w:id="2465" w:name="_Toc150480795"/>
      <w:bookmarkStart w:id="2466" w:name="_Toc520356218"/>
    </w:p>
    <w:p w14:paraId="0CFE1CF4">
      <w:pPr>
        <w:pStyle w:val="272"/>
        <w:numPr>
          <w:ilvl w:val="0"/>
          <w:numId w:val="24"/>
        </w:numPr>
        <w:tabs>
          <w:tab w:val="left" w:pos="360"/>
        </w:tabs>
        <w:snapToGrid w:val="0"/>
        <w:spacing w:line="360" w:lineRule="auto"/>
        <w:ind w:firstLineChars="0"/>
        <w:outlineLvl w:val="1"/>
        <w:rPr>
          <w:rFonts w:ascii="宋体" w:hAnsi="宋体"/>
          <w:sz w:val="24"/>
        </w:rPr>
      </w:pPr>
      <w:r>
        <w:rPr>
          <w:rFonts w:ascii="宋体" w:hAnsi="宋体"/>
          <w:sz w:val="24"/>
        </w:rPr>
        <w:t>授权委托书</w:t>
      </w:r>
    </w:p>
    <w:p w14:paraId="0BA97D75">
      <w:pPr>
        <w:autoSpaceDE w:val="0"/>
        <w:autoSpaceDN w:val="0"/>
        <w:adjustRightInd w:val="0"/>
        <w:spacing w:line="360" w:lineRule="auto"/>
        <w:jc w:val="center"/>
        <w:rPr>
          <w:rFonts w:ascii="宋体" w:hAnsi="宋体"/>
          <w:b/>
          <w:sz w:val="36"/>
          <w:szCs w:val="36"/>
        </w:rPr>
      </w:pPr>
      <w:r>
        <w:rPr>
          <w:rFonts w:hint="eastAsia" w:ascii="宋体" w:hAnsi="宋体"/>
          <w:b/>
          <w:sz w:val="36"/>
          <w:szCs w:val="36"/>
        </w:rPr>
        <w:t>授权委托书</w:t>
      </w:r>
    </w:p>
    <w:p w14:paraId="003EA98E">
      <w:pPr>
        <w:spacing w:line="360" w:lineRule="auto"/>
        <w:ind w:firstLine="420"/>
        <w:rPr>
          <w:rFonts w:ascii="宋体" w:hAnsi="宋体"/>
          <w:sz w:val="24"/>
          <w:szCs w:val="20"/>
        </w:rPr>
      </w:pPr>
      <w:r>
        <w:rPr>
          <w:rFonts w:ascii="宋体" w:hAnsi="宋体"/>
          <w:sz w:val="24"/>
          <w:szCs w:val="20"/>
        </w:rPr>
        <w:t>本人__</w:t>
      </w:r>
      <w:r>
        <w:rPr>
          <w:rFonts w:hint="eastAsia" w:ascii="宋体" w:hAnsi="宋体"/>
          <w:sz w:val="24"/>
          <w:szCs w:val="20"/>
          <w:u w:val="single"/>
        </w:rPr>
        <w:t xml:space="preserve">     </w:t>
      </w:r>
      <w:r>
        <w:rPr>
          <w:rFonts w:ascii="宋体" w:hAnsi="宋体"/>
          <w:sz w:val="24"/>
          <w:szCs w:val="20"/>
          <w:u w:val="single"/>
        </w:rPr>
        <w:t>_</w:t>
      </w:r>
      <w:r>
        <w:rPr>
          <w:rFonts w:ascii="宋体" w:hAnsi="宋体"/>
          <w:sz w:val="24"/>
          <w:szCs w:val="20"/>
        </w:rPr>
        <w:t>（姓名）系_</w:t>
      </w:r>
      <w:r>
        <w:rPr>
          <w:rFonts w:hint="eastAsia" w:ascii="宋体" w:hAnsi="宋体"/>
          <w:sz w:val="24"/>
          <w:szCs w:val="20"/>
          <w:u w:val="single"/>
        </w:rPr>
        <w:t xml:space="preserve">              </w:t>
      </w:r>
      <w:r>
        <w:rPr>
          <w:rFonts w:ascii="宋体" w:hAnsi="宋体"/>
          <w:sz w:val="24"/>
          <w:szCs w:val="20"/>
        </w:rPr>
        <w:t>__（供应商名称）的法定代表人（单位负责人），现委托__</w:t>
      </w:r>
      <w:r>
        <w:rPr>
          <w:rFonts w:hint="eastAsia" w:ascii="宋体" w:hAnsi="宋体"/>
          <w:sz w:val="24"/>
          <w:szCs w:val="20"/>
          <w:u w:val="single"/>
        </w:rPr>
        <w:t xml:space="preserve">      </w:t>
      </w:r>
      <w:r>
        <w:rPr>
          <w:rFonts w:ascii="宋体" w:hAnsi="宋体"/>
          <w:sz w:val="24"/>
          <w:szCs w:val="20"/>
          <w:u w:val="single"/>
        </w:rPr>
        <w:t>_</w:t>
      </w:r>
      <w:r>
        <w:rPr>
          <w:rFonts w:ascii="宋体" w:hAnsi="宋体"/>
          <w:sz w:val="24"/>
          <w:szCs w:val="20"/>
        </w:rPr>
        <w:t xml:space="preserve"> （姓名）为我方代理人。代理人根据授权，以我方名义签署、澄清确认、递交、撤回、修改_</w:t>
      </w:r>
      <w:r>
        <w:rPr>
          <w:rFonts w:hint="eastAsia" w:ascii="宋体" w:hAnsi="宋体"/>
          <w:sz w:val="24"/>
          <w:szCs w:val="20"/>
          <w:u w:val="single"/>
        </w:rPr>
        <w:t xml:space="preserve">                  </w:t>
      </w:r>
      <w:r>
        <w:rPr>
          <w:rFonts w:ascii="宋体" w:hAnsi="宋体"/>
          <w:sz w:val="24"/>
          <w:szCs w:val="20"/>
        </w:rPr>
        <w:t>___（项目名称</w:t>
      </w:r>
      <w:r>
        <w:rPr>
          <w:rFonts w:hint="eastAsia" w:ascii="宋体" w:hAnsi="宋体"/>
          <w:sz w:val="24"/>
          <w:szCs w:val="20"/>
        </w:rPr>
        <w:t>，标的名称</w:t>
      </w:r>
      <w:r>
        <w:rPr>
          <w:rFonts w:ascii="宋体" w:hAnsi="宋体"/>
          <w:sz w:val="24"/>
          <w:szCs w:val="20"/>
        </w:rPr>
        <w:t>）响应文件和处理有关事宜，其法律后果由我方承担。</w:t>
      </w:r>
    </w:p>
    <w:p w14:paraId="7EFB5AF7">
      <w:pPr>
        <w:spacing w:line="360" w:lineRule="auto"/>
        <w:ind w:firstLine="420"/>
        <w:rPr>
          <w:rFonts w:ascii="宋体" w:hAnsi="宋体"/>
          <w:sz w:val="24"/>
          <w:szCs w:val="20"/>
        </w:rPr>
      </w:pPr>
      <w:r>
        <w:rPr>
          <w:rFonts w:ascii="宋体" w:hAnsi="宋体"/>
          <w:sz w:val="24"/>
          <w:szCs w:val="20"/>
        </w:rPr>
        <w:t>委托期限：自本授权委托书签署之日起至响应有效期届满之日止。</w:t>
      </w:r>
    </w:p>
    <w:p w14:paraId="0BDDA049">
      <w:pPr>
        <w:spacing w:line="360" w:lineRule="auto"/>
        <w:ind w:firstLine="420"/>
        <w:rPr>
          <w:rFonts w:ascii="宋体" w:hAnsi="宋体"/>
          <w:sz w:val="24"/>
          <w:szCs w:val="20"/>
        </w:rPr>
      </w:pPr>
      <w:r>
        <w:rPr>
          <w:rFonts w:ascii="宋体" w:hAnsi="宋体"/>
          <w:sz w:val="24"/>
          <w:szCs w:val="20"/>
        </w:rPr>
        <w:t>代理人无转委托权。</w:t>
      </w:r>
      <w:r>
        <w:rPr>
          <w:rFonts w:ascii="宋体" w:hAnsi="宋体"/>
          <w:sz w:val="24"/>
          <w:szCs w:val="20"/>
        </w:rPr>
        <w:cr/>
      </w:r>
    </w:p>
    <w:p w14:paraId="505AB742">
      <w:pPr>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4335354B">
      <w:pPr>
        <w:spacing w:line="360" w:lineRule="auto"/>
        <w:rPr>
          <w:rFonts w:ascii="宋体" w:hAnsi="宋体"/>
          <w:sz w:val="24"/>
          <w:szCs w:val="20"/>
        </w:rPr>
      </w:pPr>
      <w:r>
        <w:rPr>
          <w:rFonts w:ascii="宋体" w:hAnsi="宋体"/>
          <w:sz w:val="24"/>
          <w:szCs w:val="20"/>
        </w:rPr>
        <w:t>法定代表人（单位负责人）（签字或</w:t>
      </w:r>
      <w:r>
        <w:rPr>
          <w:rFonts w:hint="eastAsia" w:ascii="宋体" w:hAnsi="宋体"/>
          <w:sz w:val="24"/>
          <w:szCs w:val="20"/>
        </w:rPr>
        <w:t>签章</w:t>
      </w:r>
      <w:r>
        <w:rPr>
          <w:rFonts w:ascii="宋体" w:hAnsi="宋体"/>
          <w:sz w:val="24"/>
          <w:szCs w:val="20"/>
        </w:rPr>
        <w:t>或印鉴）：______________</w:t>
      </w:r>
    </w:p>
    <w:p w14:paraId="6B4A61AC">
      <w:pPr>
        <w:autoSpaceDE w:val="0"/>
        <w:autoSpaceDN w:val="0"/>
        <w:adjustRightInd w:val="0"/>
        <w:snapToGrid w:val="0"/>
        <w:spacing w:line="360" w:lineRule="auto"/>
        <w:rPr>
          <w:rFonts w:ascii="宋体" w:hAnsi="宋体"/>
          <w:sz w:val="24"/>
          <w:lang w:val="zh-CN"/>
        </w:rPr>
      </w:pPr>
      <w:r>
        <w:rPr>
          <w:rFonts w:ascii="宋体" w:hAnsi="宋体"/>
          <w:sz w:val="24"/>
        </w:rPr>
        <w:t>委托代理人（签字</w:t>
      </w:r>
      <w:r>
        <w:rPr>
          <w:rFonts w:ascii="宋体" w:hAnsi="宋体"/>
          <w:sz w:val="24"/>
          <w:szCs w:val="20"/>
        </w:rPr>
        <w:t>或</w:t>
      </w:r>
      <w:r>
        <w:rPr>
          <w:rFonts w:hint="eastAsia" w:ascii="宋体" w:hAnsi="宋体"/>
          <w:sz w:val="24"/>
          <w:szCs w:val="20"/>
        </w:rPr>
        <w:t>签章</w:t>
      </w:r>
      <w:r>
        <w:rPr>
          <w:rFonts w:ascii="宋体" w:hAnsi="宋体"/>
          <w:sz w:val="24"/>
        </w:rPr>
        <w:t>）：</w:t>
      </w:r>
      <w:r>
        <w:rPr>
          <w:rFonts w:ascii="宋体" w:hAnsi="宋体"/>
          <w:sz w:val="24"/>
          <w:szCs w:val="20"/>
        </w:rPr>
        <w:t>______________</w:t>
      </w:r>
      <w:r>
        <w:rPr>
          <w:rFonts w:ascii="宋体" w:hAnsi="宋体"/>
          <w:sz w:val="24"/>
          <w:lang w:val="zh-CN"/>
        </w:rPr>
        <w:t xml:space="preserve">        </w:t>
      </w:r>
    </w:p>
    <w:p w14:paraId="1F92051D">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3FDAE64D">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hint="eastAsia" w:ascii="宋体" w:hAnsi="宋体"/>
          <w:sz w:val="24"/>
          <w:szCs w:val="20"/>
        </w:rPr>
        <w:t>复印件</w:t>
      </w:r>
      <w:r>
        <w:rPr>
          <w:rFonts w:ascii="宋体" w:hAnsi="宋体"/>
          <w:sz w:val="24"/>
          <w:szCs w:val="20"/>
        </w:rPr>
        <w:t>：</w:t>
      </w:r>
    </w:p>
    <w:tbl>
      <w:tblPr>
        <w:tblStyle w:val="6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67794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trPr>
        <w:tc>
          <w:tcPr>
            <w:tcW w:w="4673" w:type="dxa"/>
          </w:tcPr>
          <w:p w14:paraId="4BC1FDBA">
            <w:pPr>
              <w:tabs>
                <w:tab w:val="left" w:pos="5580"/>
              </w:tabs>
              <w:spacing w:line="360" w:lineRule="auto"/>
              <w:jc w:val="left"/>
              <w:rPr>
                <w:rFonts w:ascii="宋体" w:hAnsi="宋体"/>
                <w:sz w:val="24"/>
                <w:szCs w:val="20"/>
              </w:rPr>
            </w:pPr>
          </w:p>
          <w:p w14:paraId="6C2F95AB">
            <w:pPr>
              <w:tabs>
                <w:tab w:val="left" w:pos="5580"/>
              </w:tabs>
              <w:spacing w:line="360" w:lineRule="auto"/>
              <w:jc w:val="left"/>
              <w:rPr>
                <w:rFonts w:ascii="宋体" w:hAnsi="宋体"/>
                <w:sz w:val="24"/>
                <w:szCs w:val="20"/>
              </w:rPr>
            </w:pPr>
          </w:p>
          <w:p w14:paraId="788DBDCC">
            <w:pPr>
              <w:tabs>
                <w:tab w:val="left" w:pos="5580"/>
              </w:tabs>
              <w:spacing w:line="360" w:lineRule="auto"/>
              <w:jc w:val="left"/>
              <w:rPr>
                <w:rFonts w:ascii="宋体" w:hAnsi="宋体"/>
                <w:sz w:val="24"/>
                <w:szCs w:val="20"/>
              </w:rPr>
            </w:pPr>
          </w:p>
        </w:tc>
        <w:tc>
          <w:tcPr>
            <w:tcW w:w="4536" w:type="dxa"/>
          </w:tcPr>
          <w:p w14:paraId="70B744E6">
            <w:pPr>
              <w:tabs>
                <w:tab w:val="left" w:pos="5580"/>
              </w:tabs>
              <w:spacing w:line="360" w:lineRule="auto"/>
              <w:jc w:val="left"/>
              <w:rPr>
                <w:rFonts w:ascii="宋体" w:hAnsi="宋体"/>
                <w:sz w:val="24"/>
                <w:szCs w:val="20"/>
              </w:rPr>
            </w:pPr>
          </w:p>
          <w:p w14:paraId="41DB2D41">
            <w:pPr>
              <w:tabs>
                <w:tab w:val="left" w:pos="5580"/>
              </w:tabs>
              <w:spacing w:line="360" w:lineRule="auto"/>
              <w:jc w:val="left"/>
              <w:rPr>
                <w:rFonts w:ascii="宋体" w:hAnsi="宋体"/>
                <w:sz w:val="24"/>
                <w:szCs w:val="20"/>
              </w:rPr>
            </w:pPr>
          </w:p>
          <w:p w14:paraId="106400A4">
            <w:pPr>
              <w:tabs>
                <w:tab w:val="left" w:pos="5580"/>
              </w:tabs>
              <w:spacing w:line="360" w:lineRule="auto"/>
              <w:jc w:val="left"/>
              <w:rPr>
                <w:rFonts w:ascii="宋体" w:hAnsi="宋体"/>
                <w:sz w:val="24"/>
                <w:szCs w:val="20"/>
              </w:rPr>
            </w:pPr>
          </w:p>
        </w:tc>
      </w:tr>
    </w:tbl>
    <w:p w14:paraId="32C75456">
      <w:pPr>
        <w:tabs>
          <w:tab w:val="left" w:pos="5580"/>
        </w:tabs>
        <w:spacing w:line="360" w:lineRule="auto"/>
        <w:jc w:val="left"/>
        <w:rPr>
          <w:rFonts w:ascii="宋体" w:hAnsi="宋体"/>
          <w:sz w:val="24"/>
          <w:szCs w:val="20"/>
        </w:rPr>
      </w:pPr>
      <w:r>
        <w:rPr>
          <w:rFonts w:ascii="宋体" w:hAnsi="宋体"/>
          <w:sz w:val="24"/>
          <w:szCs w:val="20"/>
        </w:rPr>
        <w:t>委托代理人有效期内的身份证</w:t>
      </w:r>
      <w:r>
        <w:rPr>
          <w:rFonts w:ascii="宋体" w:hAnsi="宋体"/>
          <w:b/>
          <w:sz w:val="24"/>
          <w:szCs w:val="20"/>
        </w:rPr>
        <w:t>正反面</w:t>
      </w:r>
      <w:r>
        <w:rPr>
          <w:rFonts w:hint="eastAsia" w:ascii="宋体" w:hAnsi="宋体"/>
          <w:sz w:val="24"/>
          <w:szCs w:val="20"/>
        </w:rPr>
        <w:t>复印件</w:t>
      </w:r>
      <w:r>
        <w:rPr>
          <w:rFonts w:ascii="宋体" w:hAnsi="宋体"/>
          <w:sz w:val="24"/>
          <w:szCs w:val="20"/>
        </w:rPr>
        <w:t>：</w:t>
      </w:r>
    </w:p>
    <w:tbl>
      <w:tblPr>
        <w:tblStyle w:val="6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4DB8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3FB39AA">
            <w:pPr>
              <w:tabs>
                <w:tab w:val="left" w:pos="5580"/>
              </w:tabs>
              <w:spacing w:line="360" w:lineRule="auto"/>
              <w:jc w:val="left"/>
              <w:rPr>
                <w:rFonts w:ascii="宋体" w:hAnsi="宋体"/>
                <w:b/>
                <w:bCs/>
                <w:sz w:val="24"/>
                <w:szCs w:val="20"/>
              </w:rPr>
            </w:pPr>
          </w:p>
          <w:p w14:paraId="77E0011A">
            <w:pPr>
              <w:tabs>
                <w:tab w:val="left" w:pos="5580"/>
              </w:tabs>
              <w:spacing w:line="360" w:lineRule="auto"/>
              <w:jc w:val="left"/>
              <w:rPr>
                <w:rFonts w:ascii="宋体" w:hAnsi="宋体"/>
                <w:b/>
                <w:bCs/>
                <w:sz w:val="24"/>
                <w:szCs w:val="20"/>
              </w:rPr>
            </w:pPr>
          </w:p>
          <w:p w14:paraId="6797342F">
            <w:pPr>
              <w:tabs>
                <w:tab w:val="left" w:pos="5580"/>
              </w:tabs>
              <w:spacing w:line="360" w:lineRule="auto"/>
              <w:jc w:val="left"/>
              <w:rPr>
                <w:rFonts w:ascii="宋体" w:hAnsi="宋体"/>
                <w:b/>
                <w:bCs/>
                <w:sz w:val="24"/>
                <w:szCs w:val="20"/>
              </w:rPr>
            </w:pPr>
          </w:p>
        </w:tc>
        <w:tc>
          <w:tcPr>
            <w:tcW w:w="4536" w:type="dxa"/>
          </w:tcPr>
          <w:p w14:paraId="2EB9E516">
            <w:pPr>
              <w:tabs>
                <w:tab w:val="left" w:pos="5580"/>
              </w:tabs>
              <w:spacing w:line="360" w:lineRule="auto"/>
              <w:jc w:val="left"/>
              <w:rPr>
                <w:rFonts w:ascii="宋体" w:hAnsi="宋体"/>
                <w:sz w:val="24"/>
                <w:szCs w:val="20"/>
              </w:rPr>
            </w:pPr>
          </w:p>
          <w:p w14:paraId="2C965A0E">
            <w:pPr>
              <w:tabs>
                <w:tab w:val="left" w:pos="5580"/>
              </w:tabs>
              <w:spacing w:line="360" w:lineRule="auto"/>
              <w:jc w:val="left"/>
              <w:rPr>
                <w:rFonts w:ascii="宋体" w:hAnsi="宋体"/>
                <w:sz w:val="24"/>
                <w:szCs w:val="20"/>
              </w:rPr>
            </w:pPr>
          </w:p>
          <w:p w14:paraId="1F09957E">
            <w:pPr>
              <w:tabs>
                <w:tab w:val="left" w:pos="5580"/>
              </w:tabs>
              <w:spacing w:line="360" w:lineRule="auto"/>
              <w:jc w:val="left"/>
              <w:rPr>
                <w:rFonts w:ascii="宋体" w:hAnsi="宋体"/>
                <w:sz w:val="24"/>
                <w:szCs w:val="20"/>
              </w:rPr>
            </w:pPr>
          </w:p>
        </w:tc>
      </w:tr>
    </w:tbl>
    <w:p w14:paraId="4453CE7B">
      <w:pPr>
        <w:tabs>
          <w:tab w:val="left" w:pos="5580"/>
        </w:tabs>
        <w:spacing w:line="360" w:lineRule="auto"/>
        <w:jc w:val="left"/>
        <w:rPr>
          <w:rFonts w:ascii="宋体" w:hAnsi="宋体"/>
          <w:sz w:val="24"/>
          <w:szCs w:val="20"/>
        </w:rPr>
      </w:pPr>
      <w:r>
        <w:rPr>
          <w:rFonts w:ascii="宋体" w:hAnsi="宋体"/>
          <w:sz w:val="24"/>
          <w:szCs w:val="20"/>
        </w:rPr>
        <w:t>说明：</w:t>
      </w:r>
    </w:p>
    <w:p w14:paraId="5E251275">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4F42012C">
      <w:pPr>
        <w:tabs>
          <w:tab w:val="left" w:pos="5580"/>
        </w:tabs>
        <w:spacing w:line="360" w:lineRule="auto"/>
        <w:jc w:val="left"/>
        <w:rPr>
          <w:rFonts w:ascii="宋体" w:hAnsi="宋体"/>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3233D9B0">
      <w:pPr>
        <w:tabs>
          <w:tab w:val="left" w:pos="5580"/>
        </w:tabs>
        <w:spacing w:line="360" w:lineRule="auto"/>
        <w:jc w:val="left"/>
        <w:rPr>
          <w:rFonts w:ascii="宋体" w:hAnsi="宋体"/>
          <w:sz w:val="24"/>
          <w:szCs w:val="20"/>
        </w:rPr>
      </w:pPr>
      <w:r>
        <w:rPr>
          <w:rFonts w:ascii="宋体" w:hAnsi="宋体"/>
          <w:sz w:val="24"/>
          <w:szCs w:val="20"/>
        </w:rPr>
        <w:t>3.供应商为自然人的情形，可不提供本《授权委托书》。</w:t>
      </w:r>
    </w:p>
    <w:p w14:paraId="0A331393">
      <w:pPr>
        <w:widowControl/>
        <w:jc w:val="left"/>
        <w:rPr>
          <w:rFonts w:ascii="宋体" w:hAnsi="宋体"/>
          <w:sz w:val="30"/>
          <w:szCs w:val="30"/>
        </w:rPr>
      </w:pPr>
      <w:r>
        <w:rPr>
          <w:rFonts w:ascii="宋体" w:hAnsi="宋体"/>
          <w:sz w:val="30"/>
          <w:szCs w:val="30"/>
        </w:rPr>
        <w:br w:type="page"/>
      </w:r>
    </w:p>
    <w:p w14:paraId="6482B1B0">
      <w:pPr>
        <w:autoSpaceDE w:val="0"/>
        <w:autoSpaceDN w:val="0"/>
        <w:adjustRightInd w:val="0"/>
        <w:spacing w:line="360" w:lineRule="auto"/>
        <w:jc w:val="center"/>
        <w:rPr>
          <w:rFonts w:ascii="宋体" w:hAnsi="宋体"/>
          <w:b/>
          <w:sz w:val="36"/>
          <w:szCs w:val="36"/>
        </w:rPr>
      </w:pPr>
      <w:r>
        <w:rPr>
          <w:rFonts w:hint="eastAsia" w:ascii="宋体" w:hAnsi="宋体"/>
          <w:b/>
          <w:sz w:val="36"/>
          <w:szCs w:val="36"/>
        </w:rPr>
        <w:t>附：法定代表人（单位负责人）身份证明</w:t>
      </w:r>
    </w:p>
    <w:p w14:paraId="04E78B20">
      <w:pPr>
        <w:kinsoku w:val="0"/>
        <w:overflowPunct w:val="0"/>
        <w:spacing w:line="200" w:lineRule="exact"/>
        <w:rPr>
          <w:rFonts w:ascii="宋体" w:hAnsi="宋体"/>
          <w:sz w:val="20"/>
          <w:szCs w:val="20"/>
        </w:rPr>
      </w:pPr>
    </w:p>
    <w:p w14:paraId="41D10A77">
      <w:pPr>
        <w:tabs>
          <w:tab w:val="left" w:pos="5580"/>
        </w:tabs>
        <w:spacing w:line="360" w:lineRule="auto"/>
        <w:rPr>
          <w:rFonts w:ascii="宋体" w:hAnsi="宋体"/>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0B8B47C8">
      <w:pPr>
        <w:pStyle w:val="29"/>
        <w:tabs>
          <w:tab w:val="left" w:pos="2412"/>
          <w:tab w:val="left" w:pos="3883"/>
          <w:tab w:val="left" w:pos="5352"/>
          <w:tab w:val="left" w:pos="6821"/>
        </w:tabs>
        <w:kinsoku w:val="0"/>
        <w:overflowPunct w:val="0"/>
        <w:spacing w:line="335" w:lineRule="exact"/>
        <w:ind w:firstLine="480" w:firstLineChars="200"/>
      </w:pPr>
      <w:r>
        <w:t>兹证明，</w:t>
      </w:r>
    </w:p>
    <w:p w14:paraId="794D813E">
      <w:pPr>
        <w:pStyle w:val="29"/>
        <w:tabs>
          <w:tab w:val="left" w:pos="1690"/>
          <w:tab w:val="left" w:pos="3400"/>
          <w:tab w:val="left" w:pos="5110"/>
          <w:tab w:val="left" w:pos="6821"/>
        </w:tabs>
        <w:kinsoku w:val="0"/>
        <w:overflowPunct w:val="0"/>
        <w:spacing w:line="335" w:lineRule="exact"/>
      </w:pPr>
      <w:r>
        <w:t>姓名：</w:t>
      </w:r>
      <w:r>
        <w:rPr>
          <w:szCs w:val="20"/>
        </w:rPr>
        <w:t>____</w:t>
      </w:r>
      <w:r>
        <w:t>性别：</w:t>
      </w:r>
      <w:r>
        <w:rPr>
          <w:szCs w:val="20"/>
        </w:rPr>
        <w:t>____</w:t>
      </w:r>
      <w:r>
        <w:t>年龄：</w:t>
      </w:r>
      <w:r>
        <w:rPr>
          <w:szCs w:val="20"/>
        </w:rPr>
        <w:t>____</w:t>
      </w:r>
      <w:r>
        <w:t>职务：</w:t>
      </w:r>
      <w:r>
        <w:rPr>
          <w:szCs w:val="20"/>
        </w:rPr>
        <w:t>____</w:t>
      </w:r>
    </w:p>
    <w:p w14:paraId="2D643391">
      <w:pPr>
        <w:pStyle w:val="29"/>
        <w:tabs>
          <w:tab w:val="left" w:pos="2412"/>
          <w:tab w:val="left" w:pos="3883"/>
          <w:tab w:val="left" w:pos="5352"/>
          <w:tab w:val="left" w:pos="6821"/>
        </w:tabs>
        <w:kinsoku w:val="0"/>
        <w:overflowPunct w:val="0"/>
        <w:spacing w:line="335" w:lineRule="exact"/>
      </w:pPr>
    </w:p>
    <w:p w14:paraId="781B07E1">
      <w:pPr>
        <w:pStyle w:val="29"/>
        <w:tabs>
          <w:tab w:val="left" w:pos="2250"/>
          <w:tab w:val="left" w:pos="2412"/>
          <w:tab w:val="left" w:pos="3883"/>
          <w:tab w:val="left" w:pos="5352"/>
          <w:tab w:val="left" w:pos="6821"/>
          <w:tab w:val="clear" w:pos="567"/>
        </w:tabs>
        <w:kinsoku w:val="0"/>
        <w:overflowPunct w:val="0"/>
        <w:spacing w:line="335" w:lineRule="exact"/>
      </w:pPr>
      <w:r>
        <w:t>系</w:t>
      </w:r>
      <w:r>
        <w:rPr>
          <w:szCs w:val="20"/>
        </w:rPr>
        <w:t>__________</w:t>
      </w:r>
      <w:r>
        <w:t>（供应商名称）的法定代表人（单位负责人）。</w:t>
      </w:r>
    </w:p>
    <w:p w14:paraId="400A4A82">
      <w:pPr>
        <w:pStyle w:val="29"/>
        <w:tabs>
          <w:tab w:val="left" w:pos="2412"/>
          <w:tab w:val="left" w:pos="3883"/>
          <w:tab w:val="left" w:pos="5352"/>
          <w:tab w:val="left" w:pos="6821"/>
        </w:tabs>
        <w:kinsoku w:val="0"/>
        <w:overflowPunct w:val="0"/>
        <w:spacing w:line="335" w:lineRule="exact"/>
      </w:pPr>
    </w:p>
    <w:p w14:paraId="65D93C29">
      <w:pPr>
        <w:pStyle w:val="29"/>
        <w:tabs>
          <w:tab w:val="left" w:pos="2412"/>
          <w:tab w:val="left" w:pos="3883"/>
          <w:tab w:val="left" w:pos="5352"/>
          <w:tab w:val="left" w:pos="6821"/>
        </w:tabs>
        <w:kinsoku w:val="0"/>
        <w:overflowPunct w:val="0"/>
        <w:spacing w:line="335" w:lineRule="exact"/>
      </w:pPr>
    </w:p>
    <w:p w14:paraId="59E5D00D">
      <w:pPr>
        <w:pStyle w:val="29"/>
        <w:tabs>
          <w:tab w:val="left" w:pos="2412"/>
          <w:tab w:val="left" w:pos="3883"/>
          <w:tab w:val="left" w:pos="5352"/>
          <w:tab w:val="left" w:pos="6821"/>
        </w:tabs>
        <w:kinsoku w:val="0"/>
        <w:overflowPunct w:val="0"/>
        <w:spacing w:line="335" w:lineRule="exact"/>
      </w:pPr>
    </w:p>
    <w:p w14:paraId="606B76C9">
      <w:pPr>
        <w:pStyle w:val="29"/>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w:t>
      </w:r>
      <w:r>
        <w:rPr>
          <w:rFonts w:hint="eastAsia"/>
          <w:spacing w:val="-3"/>
        </w:rPr>
        <w:t>复印</w:t>
      </w:r>
      <w:r>
        <w:rPr>
          <w:spacing w:val="-3"/>
        </w:rPr>
        <w:t>件。</w:t>
      </w:r>
    </w:p>
    <w:tbl>
      <w:tblPr>
        <w:tblStyle w:val="67"/>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0"/>
        <w:gridCol w:w="4252"/>
      </w:tblGrid>
      <w:tr w14:paraId="625C0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5070" w:type="dxa"/>
          </w:tcPr>
          <w:p w14:paraId="15B8E4B9">
            <w:pPr>
              <w:tabs>
                <w:tab w:val="left" w:pos="5580"/>
              </w:tabs>
              <w:spacing w:line="360" w:lineRule="auto"/>
              <w:jc w:val="left"/>
              <w:rPr>
                <w:rFonts w:ascii="宋体" w:hAnsi="宋体"/>
                <w:sz w:val="24"/>
                <w:szCs w:val="20"/>
              </w:rPr>
            </w:pPr>
          </w:p>
          <w:p w14:paraId="712B4FAA">
            <w:pPr>
              <w:tabs>
                <w:tab w:val="left" w:pos="5580"/>
              </w:tabs>
              <w:spacing w:line="360" w:lineRule="auto"/>
              <w:jc w:val="left"/>
              <w:rPr>
                <w:rFonts w:ascii="宋体" w:hAnsi="宋体"/>
                <w:sz w:val="24"/>
                <w:szCs w:val="20"/>
              </w:rPr>
            </w:pPr>
          </w:p>
          <w:p w14:paraId="259C3162">
            <w:pPr>
              <w:tabs>
                <w:tab w:val="left" w:pos="5580"/>
              </w:tabs>
              <w:spacing w:line="360" w:lineRule="auto"/>
              <w:jc w:val="left"/>
              <w:rPr>
                <w:rFonts w:ascii="宋体" w:hAnsi="宋体"/>
                <w:sz w:val="24"/>
                <w:szCs w:val="20"/>
              </w:rPr>
            </w:pPr>
          </w:p>
        </w:tc>
        <w:tc>
          <w:tcPr>
            <w:tcW w:w="4252" w:type="dxa"/>
          </w:tcPr>
          <w:p w14:paraId="741F438E">
            <w:pPr>
              <w:tabs>
                <w:tab w:val="left" w:pos="5580"/>
              </w:tabs>
              <w:spacing w:line="360" w:lineRule="auto"/>
              <w:jc w:val="left"/>
              <w:rPr>
                <w:rFonts w:ascii="宋体" w:hAnsi="宋体"/>
                <w:sz w:val="24"/>
                <w:szCs w:val="20"/>
              </w:rPr>
            </w:pPr>
          </w:p>
          <w:p w14:paraId="6E6F9F4F">
            <w:pPr>
              <w:tabs>
                <w:tab w:val="left" w:pos="5580"/>
              </w:tabs>
              <w:spacing w:line="360" w:lineRule="auto"/>
              <w:jc w:val="left"/>
              <w:rPr>
                <w:rFonts w:ascii="宋体" w:hAnsi="宋体"/>
                <w:sz w:val="24"/>
                <w:szCs w:val="20"/>
              </w:rPr>
            </w:pPr>
          </w:p>
          <w:p w14:paraId="4B3F9C4D">
            <w:pPr>
              <w:tabs>
                <w:tab w:val="left" w:pos="5580"/>
              </w:tabs>
              <w:spacing w:line="360" w:lineRule="auto"/>
              <w:jc w:val="left"/>
              <w:rPr>
                <w:rFonts w:ascii="宋体" w:hAnsi="宋体"/>
                <w:sz w:val="24"/>
                <w:szCs w:val="20"/>
              </w:rPr>
            </w:pPr>
          </w:p>
        </w:tc>
      </w:tr>
    </w:tbl>
    <w:p w14:paraId="7E8D0A9D">
      <w:pPr>
        <w:pStyle w:val="29"/>
        <w:kinsoku w:val="0"/>
        <w:overflowPunct w:val="0"/>
        <w:spacing w:line="583" w:lineRule="auto"/>
        <w:ind w:right="4305"/>
        <w:rPr>
          <w:spacing w:val="-3"/>
        </w:rPr>
      </w:pPr>
    </w:p>
    <w:p w14:paraId="03DD257F">
      <w:pPr>
        <w:pStyle w:val="29"/>
        <w:kinsoku w:val="0"/>
        <w:overflowPunct w:val="0"/>
        <w:spacing w:line="583" w:lineRule="auto"/>
        <w:ind w:right="4305"/>
        <w:rPr>
          <w:spacing w:val="-3"/>
        </w:rPr>
      </w:pPr>
    </w:p>
    <w:p w14:paraId="55F4215F">
      <w:pPr>
        <w:pStyle w:val="29"/>
        <w:kinsoku w:val="0"/>
        <w:overflowPunct w:val="0"/>
        <w:spacing w:line="583" w:lineRule="auto"/>
        <w:ind w:right="4305"/>
        <w:rPr>
          <w:spacing w:val="-3"/>
        </w:rPr>
      </w:pPr>
    </w:p>
    <w:p w14:paraId="11B1281C">
      <w:pPr>
        <w:autoSpaceDE w:val="0"/>
        <w:autoSpaceDN w:val="0"/>
        <w:adjustRightInd w:val="0"/>
        <w:snapToGrid w:val="0"/>
        <w:spacing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545C718B">
      <w:pPr>
        <w:autoSpaceDE w:val="0"/>
        <w:autoSpaceDN w:val="0"/>
        <w:adjustRightInd w:val="0"/>
        <w:snapToGrid w:val="0"/>
        <w:spacing w:line="360" w:lineRule="auto"/>
        <w:rPr>
          <w:rFonts w:ascii="宋体" w:hAnsi="宋体"/>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sz w:val="24"/>
          <w:szCs w:val="20"/>
        </w:rPr>
        <w:t>或</w:t>
      </w:r>
      <w:r>
        <w:rPr>
          <w:rFonts w:hint="eastAsia" w:ascii="宋体" w:hAnsi="宋体"/>
          <w:sz w:val="24"/>
          <w:szCs w:val="20"/>
        </w:rPr>
        <w:t>签章</w:t>
      </w:r>
      <w:r>
        <w:rPr>
          <w:rFonts w:ascii="宋体" w:hAnsi="宋体"/>
          <w:spacing w:val="-3"/>
          <w:sz w:val="24"/>
        </w:rPr>
        <w:t>或印鉴）：</w:t>
      </w:r>
      <w:r>
        <w:rPr>
          <w:rFonts w:ascii="宋体" w:hAnsi="宋体"/>
          <w:sz w:val="24"/>
        </w:rPr>
        <w:t>______</w:t>
      </w:r>
    </w:p>
    <w:p w14:paraId="797CC44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14:paraId="4281B486">
      <w:pPr>
        <w:widowControl/>
        <w:jc w:val="left"/>
        <w:rPr>
          <w:rFonts w:ascii="宋体" w:hAnsi="宋体"/>
          <w:i/>
          <w:sz w:val="24"/>
          <w:szCs w:val="20"/>
          <w:u w:val="single"/>
        </w:rPr>
      </w:pPr>
    </w:p>
    <w:p w14:paraId="04F75A77">
      <w:pPr>
        <w:widowControl/>
        <w:jc w:val="left"/>
        <w:rPr>
          <w:rFonts w:ascii="宋体" w:hAnsi="宋体"/>
          <w:sz w:val="24"/>
          <w:szCs w:val="20"/>
        </w:rPr>
      </w:pPr>
      <w:r>
        <w:rPr>
          <w:rFonts w:ascii="宋体" w:hAnsi="宋体"/>
          <w:sz w:val="24"/>
          <w:szCs w:val="20"/>
        </w:rPr>
        <w:br w:type="page"/>
      </w:r>
    </w:p>
    <w:p w14:paraId="20563C48">
      <w:pPr>
        <w:pStyle w:val="272"/>
        <w:numPr>
          <w:ilvl w:val="0"/>
          <w:numId w:val="24"/>
        </w:numPr>
        <w:tabs>
          <w:tab w:val="left" w:pos="360"/>
        </w:tabs>
        <w:snapToGrid w:val="0"/>
        <w:spacing w:line="360" w:lineRule="auto"/>
        <w:ind w:firstLineChars="0"/>
        <w:outlineLvl w:val="1"/>
        <w:rPr>
          <w:rFonts w:ascii="宋体" w:hAnsi="宋体"/>
          <w:sz w:val="24"/>
        </w:rPr>
      </w:pPr>
      <w:r>
        <w:rPr>
          <w:rFonts w:ascii="宋体" w:hAnsi="宋体"/>
          <w:sz w:val="24"/>
        </w:rPr>
        <w:t>报价一览表</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p>
    <w:p w14:paraId="275360B6">
      <w:pPr>
        <w:spacing w:line="360" w:lineRule="exact"/>
        <w:jc w:val="center"/>
        <w:rPr>
          <w:rFonts w:ascii="宋体" w:hAnsi="宋体"/>
          <w:b/>
          <w:sz w:val="36"/>
          <w:szCs w:val="36"/>
        </w:rPr>
      </w:pPr>
      <w:bookmarkStart w:id="2467" w:name="_Toc226965831"/>
      <w:bookmarkStart w:id="2468" w:name="_Toc226309802"/>
      <w:bookmarkStart w:id="2469" w:name="_Toc226965748"/>
      <w:bookmarkStart w:id="2470" w:name="_Toc265228396"/>
      <w:bookmarkStart w:id="2471" w:name="_Toc164608672"/>
      <w:bookmarkStart w:id="2472" w:name="_Toc305158900"/>
      <w:bookmarkStart w:id="2473" w:name="_Toc264969248"/>
      <w:bookmarkStart w:id="2474" w:name="_Toc164608827"/>
      <w:bookmarkStart w:id="2475" w:name="_Toc226337254"/>
      <w:bookmarkStart w:id="2476" w:name="_Toc195842923"/>
      <w:bookmarkStart w:id="2477" w:name="_Toc305158826"/>
      <w:r>
        <w:rPr>
          <w:rFonts w:hint="eastAsia" w:ascii="宋体" w:hAnsi="宋体"/>
          <w:b/>
          <w:sz w:val="36"/>
          <w:szCs w:val="36"/>
        </w:rPr>
        <w:t>报价一览表</w:t>
      </w:r>
      <w:bookmarkEnd w:id="2467"/>
      <w:bookmarkEnd w:id="2468"/>
      <w:bookmarkEnd w:id="2469"/>
      <w:bookmarkEnd w:id="2470"/>
      <w:bookmarkEnd w:id="2471"/>
      <w:bookmarkEnd w:id="2472"/>
      <w:bookmarkEnd w:id="2473"/>
      <w:bookmarkEnd w:id="2474"/>
      <w:bookmarkEnd w:id="2475"/>
      <w:bookmarkEnd w:id="2476"/>
      <w:bookmarkEnd w:id="2477"/>
    </w:p>
    <w:p w14:paraId="44B1F5B1">
      <w:pPr>
        <w:tabs>
          <w:tab w:val="left" w:pos="1800"/>
          <w:tab w:val="left" w:pos="5580"/>
        </w:tabs>
        <w:spacing w:line="360" w:lineRule="auto"/>
        <w:jc w:val="left"/>
        <w:rPr>
          <w:rFonts w:ascii="宋体" w:hAnsi="宋体"/>
          <w:sz w:val="24"/>
        </w:rPr>
      </w:pPr>
    </w:p>
    <w:p w14:paraId="7A2B5D64">
      <w:pPr>
        <w:tabs>
          <w:tab w:val="left" w:pos="1800"/>
          <w:tab w:val="left" w:pos="5580"/>
        </w:tabs>
        <w:spacing w:line="360" w:lineRule="auto"/>
        <w:ind w:firstLine="240" w:firstLineChars="100"/>
        <w:jc w:val="left"/>
        <w:rPr>
          <w:rFonts w:ascii="宋体" w:hAnsi="宋体"/>
          <w:sz w:val="24"/>
        </w:rPr>
      </w:pPr>
      <w:r>
        <w:rPr>
          <w:rFonts w:ascii="宋体" w:hAnsi="宋体"/>
          <w:sz w:val="24"/>
        </w:rPr>
        <w:t xml:space="preserve">项目名称：____________     </w:t>
      </w:r>
      <w:r>
        <w:rPr>
          <w:rFonts w:hint="eastAsia" w:ascii="宋体" w:hAnsi="宋体"/>
          <w:sz w:val="24"/>
        </w:rPr>
        <w:t xml:space="preserve">    </w:t>
      </w:r>
      <w:r>
        <w:rPr>
          <w:rFonts w:ascii="宋体" w:hAnsi="宋体"/>
          <w:sz w:val="24"/>
        </w:rPr>
        <w:t>项目编号：___________</w:t>
      </w:r>
    </w:p>
    <w:tbl>
      <w:tblPr>
        <w:tblStyle w:val="68"/>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6663"/>
      </w:tblGrid>
      <w:tr w14:paraId="17CD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376" w:type="dxa"/>
            <w:vAlign w:val="center"/>
          </w:tcPr>
          <w:p w14:paraId="3AEABC83">
            <w:pPr>
              <w:tabs>
                <w:tab w:val="left" w:pos="1800"/>
                <w:tab w:val="left" w:pos="5580"/>
              </w:tabs>
              <w:spacing w:line="360" w:lineRule="auto"/>
              <w:jc w:val="center"/>
              <w:rPr>
                <w:rFonts w:ascii="宋体" w:hAnsi="宋体"/>
                <w:bCs/>
                <w:sz w:val="24"/>
              </w:rPr>
            </w:pPr>
            <w:r>
              <w:rPr>
                <w:rFonts w:hint="eastAsia" w:ascii="宋体" w:hAnsi="宋体"/>
                <w:bCs/>
                <w:sz w:val="24"/>
              </w:rPr>
              <w:t>报价（人民币元）</w:t>
            </w:r>
          </w:p>
        </w:tc>
        <w:tc>
          <w:tcPr>
            <w:tcW w:w="6663" w:type="dxa"/>
            <w:vAlign w:val="center"/>
          </w:tcPr>
          <w:p w14:paraId="012C29BF">
            <w:pPr>
              <w:pStyle w:val="2"/>
              <w:spacing w:line="360" w:lineRule="auto"/>
              <w:ind w:left="0" w:firstLine="0"/>
              <w:rPr>
                <w:rFonts w:hAnsi="宋体"/>
                <w:bCs/>
                <w:kern w:val="2"/>
                <w:szCs w:val="24"/>
              </w:rPr>
            </w:pPr>
            <w:r>
              <w:rPr>
                <w:rFonts w:hint="eastAsia" w:hAnsi="宋体"/>
                <w:bCs/>
                <w:kern w:val="2"/>
                <w:szCs w:val="24"/>
              </w:rPr>
              <w:t>投标总价：大写：</w:t>
            </w:r>
            <w:r>
              <w:rPr>
                <w:rFonts w:hint="eastAsia" w:hAnsi="宋体"/>
                <w:bCs/>
                <w:kern w:val="2"/>
                <w:szCs w:val="24"/>
                <w:u w:val="single"/>
              </w:rPr>
              <w:t xml:space="preserve">       </w:t>
            </w:r>
            <w:r>
              <w:rPr>
                <w:rFonts w:hint="eastAsia" w:hAnsi="宋体"/>
                <w:bCs/>
              </w:rPr>
              <w:t>小写：</w:t>
            </w:r>
            <w:r>
              <w:rPr>
                <w:rFonts w:hint="eastAsia" w:hAnsi="宋体"/>
                <w:bCs/>
                <w:u w:val="single"/>
              </w:rPr>
              <w:t xml:space="preserve">     </w:t>
            </w:r>
          </w:p>
          <w:p w14:paraId="4553ADCF">
            <w:pPr>
              <w:pStyle w:val="17"/>
              <w:spacing w:line="360" w:lineRule="auto"/>
              <w:rPr>
                <w:rFonts w:ascii="宋体" w:hAnsi="宋体"/>
                <w:color w:val="auto"/>
                <w:szCs w:val="21"/>
                <w:shd w:val="clear" w:color="auto" w:fill="FFFFFF"/>
              </w:rPr>
            </w:pPr>
            <w:r>
              <w:rPr>
                <w:rFonts w:hint="eastAsia" w:ascii="宋体" w:hAnsi="宋体"/>
                <w:color w:val="auto"/>
                <w:szCs w:val="21"/>
                <w:shd w:val="clear" w:color="auto" w:fill="FFFFFF"/>
              </w:rPr>
              <w:t>在我方的上述投标报价中，包括：</w:t>
            </w:r>
          </w:p>
          <w:p w14:paraId="2214CD26">
            <w:pPr>
              <w:pStyle w:val="17"/>
              <w:spacing w:line="360" w:lineRule="auto"/>
              <w:rPr>
                <w:color w:val="auto"/>
              </w:rPr>
            </w:pPr>
            <w:r>
              <w:rPr>
                <w:color w:val="auto"/>
              </w:rPr>
              <w:t>安全文明施工费（含税）：元</w:t>
            </w:r>
          </w:p>
          <w:p w14:paraId="67CB33BF">
            <w:pPr>
              <w:pStyle w:val="17"/>
              <w:spacing w:line="360" w:lineRule="auto"/>
              <w:rPr>
                <w:color w:val="auto"/>
              </w:rPr>
            </w:pPr>
            <w:r>
              <w:rPr>
                <w:color w:val="auto"/>
              </w:rPr>
              <w:t>赶工增加费（含税）：元</w:t>
            </w:r>
          </w:p>
          <w:p w14:paraId="3EBD8FD7">
            <w:pPr>
              <w:pStyle w:val="17"/>
              <w:spacing w:line="360" w:lineRule="auto"/>
              <w:rPr>
                <w:color w:val="auto"/>
              </w:rPr>
            </w:pPr>
            <w:r>
              <w:rPr>
                <w:color w:val="auto"/>
              </w:rPr>
              <w:t>建筑垃圾运输处置费含税：元</w:t>
            </w:r>
          </w:p>
          <w:p w14:paraId="1BF3C0D0">
            <w:pPr>
              <w:pStyle w:val="17"/>
              <w:spacing w:line="360" w:lineRule="auto"/>
              <w:rPr>
                <w:color w:val="auto"/>
              </w:rPr>
            </w:pPr>
            <w:r>
              <w:rPr>
                <w:color w:val="auto"/>
              </w:rPr>
              <w:t>暂列金额（不含计日工部分）（含税）：元</w:t>
            </w:r>
          </w:p>
          <w:p w14:paraId="5A4EB046">
            <w:pPr>
              <w:pStyle w:val="17"/>
              <w:spacing w:line="360" w:lineRule="auto"/>
              <w:rPr>
                <w:color w:val="auto"/>
              </w:rPr>
            </w:pPr>
            <w:r>
              <w:rPr>
                <w:color w:val="auto"/>
              </w:rPr>
              <w:t>农民工工伤保险费：元</w:t>
            </w:r>
          </w:p>
        </w:tc>
      </w:tr>
      <w:tr w14:paraId="5DEA9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376" w:type="dxa"/>
            <w:vAlign w:val="center"/>
          </w:tcPr>
          <w:p w14:paraId="448662DA">
            <w:pPr>
              <w:tabs>
                <w:tab w:val="left" w:pos="1800"/>
                <w:tab w:val="left" w:pos="5580"/>
              </w:tabs>
              <w:spacing w:line="360" w:lineRule="auto"/>
              <w:jc w:val="center"/>
              <w:rPr>
                <w:rFonts w:ascii="宋体" w:hAnsi="宋体"/>
                <w:bCs/>
                <w:sz w:val="24"/>
              </w:rPr>
            </w:pPr>
            <w:r>
              <w:rPr>
                <w:rFonts w:hint="eastAsia" w:ascii="宋体" w:hAnsi="宋体"/>
                <w:bCs/>
                <w:sz w:val="24"/>
              </w:rPr>
              <w:t>优惠率（%）</w:t>
            </w:r>
          </w:p>
        </w:tc>
        <w:tc>
          <w:tcPr>
            <w:tcW w:w="6663" w:type="dxa"/>
            <w:vAlign w:val="center"/>
          </w:tcPr>
          <w:p w14:paraId="728B1D29">
            <w:pPr>
              <w:tabs>
                <w:tab w:val="left" w:pos="1800"/>
                <w:tab w:val="left" w:pos="5580"/>
              </w:tabs>
              <w:spacing w:line="360" w:lineRule="auto"/>
              <w:jc w:val="left"/>
              <w:rPr>
                <w:rFonts w:ascii="Symbol" w:hAnsi="Symbol"/>
                <w:sz w:val="23"/>
                <w:szCs w:val="23"/>
              </w:rPr>
            </w:pPr>
            <w:r>
              <w:rPr>
                <w:rFonts w:hint="eastAsia" w:ascii="宋体" w:hAnsi="宋体"/>
                <w:bCs/>
                <w:sz w:val="24"/>
              </w:rPr>
              <w:t>本项目所报总价与项目预算（招标控制价）相比优惠率：</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w:t>
            </w:r>
            <w:r>
              <w:rPr>
                <w:rFonts w:ascii="宋体" w:hAnsi="宋体"/>
                <w:bCs/>
                <w:sz w:val="24"/>
              </w:rPr>
              <w:t xml:space="preserve"> </w:t>
            </w:r>
          </w:p>
        </w:tc>
      </w:tr>
      <w:tr w14:paraId="017E6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376" w:type="dxa"/>
            <w:vAlign w:val="center"/>
          </w:tcPr>
          <w:p w14:paraId="3CFF8807">
            <w:pPr>
              <w:tabs>
                <w:tab w:val="left" w:pos="1800"/>
                <w:tab w:val="left" w:pos="5580"/>
              </w:tabs>
              <w:spacing w:line="360" w:lineRule="auto"/>
              <w:jc w:val="center"/>
              <w:rPr>
                <w:rFonts w:ascii="宋体" w:hAnsi="宋体"/>
                <w:bCs/>
                <w:sz w:val="24"/>
              </w:rPr>
            </w:pPr>
            <w:r>
              <w:rPr>
                <w:rFonts w:hint="eastAsia" w:ascii="宋体" w:hAnsi="宋体"/>
                <w:bCs/>
                <w:sz w:val="24"/>
              </w:rPr>
              <w:t>质量标准</w:t>
            </w:r>
          </w:p>
        </w:tc>
        <w:tc>
          <w:tcPr>
            <w:tcW w:w="6663" w:type="dxa"/>
            <w:vAlign w:val="center"/>
          </w:tcPr>
          <w:p w14:paraId="32124218">
            <w:pPr>
              <w:tabs>
                <w:tab w:val="left" w:pos="1800"/>
                <w:tab w:val="left" w:pos="5580"/>
              </w:tabs>
              <w:spacing w:line="360" w:lineRule="auto"/>
              <w:jc w:val="left"/>
              <w:rPr>
                <w:rFonts w:ascii="宋体" w:hAnsi="宋体"/>
                <w:bCs/>
                <w:sz w:val="24"/>
              </w:rPr>
            </w:pPr>
          </w:p>
        </w:tc>
      </w:tr>
      <w:tr w14:paraId="4D05C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376" w:type="dxa"/>
            <w:vAlign w:val="center"/>
          </w:tcPr>
          <w:p w14:paraId="6A149BC0">
            <w:pPr>
              <w:tabs>
                <w:tab w:val="left" w:pos="1800"/>
                <w:tab w:val="left" w:pos="5580"/>
              </w:tabs>
              <w:spacing w:line="360" w:lineRule="auto"/>
              <w:jc w:val="center"/>
              <w:rPr>
                <w:rFonts w:ascii="宋体" w:hAnsi="宋体"/>
                <w:bCs/>
                <w:sz w:val="24"/>
              </w:rPr>
            </w:pPr>
            <w:r>
              <w:rPr>
                <w:rFonts w:hint="eastAsia" w:ascii="宋体" w:hAnsi="宋体"/>
                <w:bCs/>
                <w:sz w:val="24"/>
              </w:rPr>
              <w:t>施工现场安全生产标准化管理目标等级</w:t>
            </w:r>
          </w:p>
        </w:tc>
        <w:tc>
          <w:tcPr>
            <w:tcW w:w="6663" w:type="dxa"/>
            <w:vAlign w:val="center"/>
          </w:tcPr>
          <w:p w14:paraId="33A7F243">
            <w:pPr>
              <w:tabs>
                <w:tab w:val="left" w:pos="1800"/>
                <w:tab w:val="left" w:pos="5580"/>
              </w:tabs>
              <w:spacing w:line="360" w:lineRule="auto"/>
              <w:jc w:val="left"/>
              <w:rPr>
                <w:rFonts w:ascii="宋体" w:hAnsi="宋体"/>
                <w:bCs/>
                <w:sz w:val="24"/>
              </w:rPr>
            </w:pPr>
          </w:p>
        </w:tc>
      </w:tr>
      <w:tr w14:paraId="6132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376" w:type="dxa"/>
            <w:vAlign w:val="center"/>
          </w:tcPr>
          <w:p w14:paraId="72AF6D49">
            <w:pPr>
              <w:tabs>
                <w:tab w:val="left" w:pos="1800"/>
                <w:tab w:val="left" w:pos="5580"/>
              </w:tabs>
              <w:spacing w:line="360" w:lineRule="auto"/>
              <w:jc w:val="center"/>
              <w:rPr>
                <w:rFonts w:ascii="宋体" w:hAnsi="宋体"/>
                <w:bCs/>
                <w:sz w:val="24"/>
              </w:rPr>
            </w:pPr>
            <w:r>
              <w:rPr>
                <w:rFonts w:hint="eastAsia" w:ascii="宋体" w:hAnsi="宋体" w:cs="宋体"/>
                <w:bCs/>
                <w:sz w:val="24"/>
              </w:rPr>
              <w:t>合同履行期限</w:t>
            </w:r>
          </w:p>
        </w:tc>
        <w:tc>
          <w:tcPr>
            <w:tcW w:w="6663" w:type="dxa"/>
            <w:vAlign w:val="center"/>
          </w:tcPr>
          <w:p w14:paraId="4F007FC1">
            <w:pPr>
              <w:tabs>
                <w:tab w:val="left" w:pos="1800"/>
                <w:tab w:val="left" w:pos="5580"/>
              </w:tabs>
              <w:spacing w:line="360" w:lineRule="auto"/>
              <w:jc w:val="left"/>
              <w:rPr>
                <w:rFonts w:ascii="宋体" w:hAnsi="宋体"/>
                <w:bCs/>
                <w:sz w:val="24"/>
              </w:rPr>
            </w:pPr>
            <w:r>
              <w:rPr>
                <w:rFonts w:hint="eastAsia" w:hAnsi="宋体"/>
                <w:bCs/>
                <w:sz w:val="24"/>
                <w:u w:val="single"/>
              </w:rPr>
              <w:t xml:space="preserve">     </w:t>
            </w:r>
            <w:r>
              <w:rPr>
                <w:rFonts w:hint="eastAsia" w:hAnsi="宋体"/>
                <w:bCs/>
                <w:sz w:val="24"/>
              </w:rPr>
              <w:t>日历天</w:t>
            </w:r>
          </w:p>
        </w:tc>
      </w:tr>
      <w:tr w14:paraId="74003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376" w:type="dxa"/>
            <w:vAlign w:val="center"/>
          </w:tcPr>
          <w:p w14:paraId="6ADE3D74">
            <w:pPr>
              <w:tabs>
                <w:tab w:val="left" w:pos="1800"/>
                <w:tab w:val="left" w:pos="5580"/>
              </w:tabs>
              <w:spacing w:line="360" w:lineRule="auto"/>
              <w:jc w:val="center"/>
              <w:rPr>
                <w:rFonts w:ascii="宋体" w:hAnsi="宋体"/>
                <w:bCs/>
                <w:sz w:val="24"/>
              </w:rPr>
            </w:pPr>
            <w:r>
              <w:rPr>
                <w:rFonts w:hint="eastAsia" w:ascii="宋体" w:hAnsi="宋体"/>
                <w:bCs/>
                <w:sz w:val="24"/>
              </w:rPr>
              <w:t>项目经理</w:t>
            </w:r>
          </w:p>
        </w:tc>
        <w:tc>
          <w:tcPr>
            <w:tcW w:w="6663" w:type="dxa"/>
            <w:vAlign w:val="center"/>
          </w:tcPr>
          <w:p w14:paraId="6AE87C94">
            <w:pPr>
              <w:tabs>
                <w:tab w:val="left" w:pos="5580"/>
              </w:tabs>
              <w:spacing w:line="360" w:lineRule="auto"/>
              <w:rPr>
                <w:rFonts w:ascii="宋体" w:hAnsi="宋体"/>
                <w:bCs/>
                <w:sz w:val="24"/>
              </w:rPr>
            </w:pPr>
            <w:r>
              <w:rPr>
                <w:rFonts w:hint="eastAsia" w:ascii="宋体" w:hAnsi="宋体"/>
                <w:bCs/>
                <w:sz w:val="24"/>
              </w:rPr>
              <w:t xml:space="preserve">姓名：         </w:t>
            </w:r>
            <w:r>
              <w:rPr>
                <w:rFonts w:hint="eastAsia"/>
                <w:bCs/>
                <w:sz w:val="24"/>
              </w:rPr>
              <w:t>身份证号：</w:t>
            </w:r>
            <w:r>
              <w:rPr>
                <w:rFonts w:hint="eastAsia" w:ascii="宋体" w:hAnsi="宋体"/>
                <w:bCs/>
                <w:sz w:val="24"/>
              </w:rPr>
              <w:t xml:space="preserve">      </w:t>
            </w:r>
            <w:r>
              <w:rPr>
                <w:rFonts w:hint="eastAsia"/>
                <w:bCs/>
                <w:sz w:val="24"/>
              </w:rPr>
              <w:t>证书编号：</w:t>
            </w:r>
          </w:p>
        </w:tc>
      </w:tr>
      <w:tr w14:paraId="2A5AA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2376" w:type="dxa"/>
            <w:vAlign w:val="center"/>
          </w:tcPr>
          <w:p w14:paraId="47C83053">
            <w:pPr>
              <w:tabs>
                <w:tab w:val="left" w:pos="1800"/>
                <w:tab w:val="left" w:pos="5580"/>
              </w:tabs>
              <w:spacing w:line="360" w:lineRule="auto"/>
              <w:jc w:val="center"/>
              <w:rPr>
                <w:rFonts w:ascii="宋体" w:hAnsi="宋体"/>
                <w:bCs/>
                <w:sz w:val="24"/>
              </w:rPr>
            </w:pPr>
            <w:r>
              <w:rPr>
                <w:rFonts w:hint="eastAsia" w:ascii="宋体" w:hAnsi="宋体"/>
                <w:bCs/>
                <w:sz w:val="24"/>
              </w:rPr>
              <w:t>合同形式</w:t>
            </w:r>
          </w:p>
        </w:tc>
        <w:tc>
          <w:tcPr>
            <w:tcW w:w="6663" w:type="dxa"/>
            <w:vAlign w:val="center"/>
          </w:tcPr>
          <w:p w14:paraId="65F2B019">
            <w:pPr>
              <w:tabs>
                <w:tab w:val="left" w:pos="1800"/>
                <w:tab w:val="left" w:pos="5580"/>
              </w:tabs>
              <w:spacing w:line="360" w:lineRule="auto"/>
              <w:jc w:val="left"/>
              <w:rPr>
                <w:rFonts w:ascii="宋体" w:hAnsi="宋体"/>
                <w:bCs/>
                <w:sz w:val="24"/>
              </w:rPr>
            </w:pPr>
            <w:r>
              <w:rPr>
                <w:rFonts w:hint="eastAsia" w:ascii="宋体" w:hAnsi="宋体"/>
                <w:bCs/>
                <w:sz w:val="24"/>
              </w:rPr>
              <w:t>固定总价合同</w:t>
            </w:r>
          </w:p>
        </w:tc>
      </w:tr>
      <w:tr w14:paraId="28244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2376" w:type="dxa"/>
            <w:vAlign w:val="center"/>
          </w:tcPr>
          <w:p w14:paraId="72EC81BC">
            <w:pPr>
              <w:tabs>
                <w:tab w:val="left" w:pos="1800"/>
                <w:tab w:val="left" w:pos="5580"/>
              </w:tabs>
              <w:spacing w:line="360" w:lineRule="auto"/>
              <w:jc w:val="center"/>
              <w:rPr>
                <w:rFonts w:ascii="宋体" w:hAnsi="宋体"/>
                <w:bCs/>
                <w:sz w:val="24"/>
              </w:rPr>
            </w:pPr>
            <w:r>
              <w:rPr>
                <w:rFonts w:hint="eastAsia" w:ascii="宋体" w:hAnsi="宋体"/>
                <w:bCs/>
                <w:sz w:val="24"/>
              </w:rPr>
              <w:t>备注</w:t>
            </w:r>
          </w:p>
        </w:tc>
        <w:tc>
          <w:tcPr>
            <w:tcW w:w="6663" w:type="dxa"/>
            <w:vAlign w:val="center"/>
          </w:tcPr>
          <w:p w14:paraId="7639F2CB">
            <w:pPr>
              <w:tabs>
                <w:tab w:val="left" w:pos="1800"/>
                <w:tab w:val="left" w:pos="5580"/>
              </w:tabs>
              <w:spacing w:line="360" w:lineRule="auto"/>
              <w:jc w:val="left"/>
              <w:rPr>
                <w:rFonts w:ascii="宋体" w:hAnsi="宋体"/>
                <w:bCs/>
                <w:sz w:val="24"/>
              </w:rPr>
            </w:pPr>
          </w:p>
        </w:tc>
      </w:tr>
    </w:tbl>
    <w:p w14:paraId="49BB152E">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w:t>
      </w:r>
      <w:r>
        <w:rPr>
          <w:rFonts w:hint="eastAsia" w:ascii="宋体" w:hAnsi="宋体"/>
          <w:sz w:val="24"/>
          <w:szCs w:val="20"/>
        </w:rPr>
        <w:t>供应商根据自身情况，自主报价</w:t>
      </w:r>
      <w:r>
        <w:rPr>
          <w:rFonts w:ascii="宋体" w:hAnsi="宋体"/>
          <w:sz w:val="24"/>
          <w:szCs w:val="20"/>
        </w:rPr>
        <w:t>。</w:t>
      </w:r>
    </w:p>
    <w:p w14:paraId="29285AFB">
      <w:pPr>
        <w:pStyle w:val="272"/>
        <w:numPr>
          <w:ilvl w:val="0"/>
          <w:numId w:val="26"/>
        </w:numPr>
        <w:tabs>
          <w:tab w:val="left" w:pos="5580"/>
        </w:tabs>
        <w:ind w:firstLineChars="0"/>
        <w:rPr>
          <w:rFonts w:ascii="宋体" w:hAnsi="宋体"/>
          <w:sz w:val="24"/>
          <w:szCs w:val="20"/>
        </w:rPr>
      </w:pPr>
      <w:r>
        <w:rPr>
          <w:rFonts w:ascii="宋体" w:hAnsi="宋体"/>
          <w:sz w:val="24"/>
          <w:szCs w:val="20"/>
        </w:rPr>
        <w:t>本表必须按包分别填写。</w:t>
      </w:r>
    </w:p>
    <w:p w14:paraId="5488BA4D">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1C600540">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szCs w:val="20"/>
        </w:rPr>
        <w:t>____年____月____日</w:t>
      </w:r>
    </w:p>
    <w:p w14:paraId="2AB62398">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  </w:t>
      </w:r>
    </w:p>
    <w:p w14:paraId="288052AA">
      <w:pPr>
        <w:pStyle w:val="272"/>
        <w:numPr>
          <w:ilvl w:val="0"/>
          <w:numId w:val="24"/>
        </w:numPr>
        <w:tabs>
          <w:tab w:val="left" w:pos="360"/>
        </w:tabs>
        <w:snapToGrid w:val="0"/>
        <w:spacing w:line="360" w:lineRule="auto"/>
        <w:ind w:firstLineChars="0"/>
        <w:outlineLvl w:val="1"/>
        <w:rPr>
          <w:rFonts w:ascii="宋体" w:hAnsi="宋体"/>
          <w:sz w:val="24"/>
        </w:rPr>
      </w:pPr>
      <w:bookmarkStart w:id="2478" w:name="_Toc142311060"/>
      <w:bookmarkStart w:id="2479" w:name="_Toc226337255"/>
      <w:bookmarkStart w:id="2480" w:name="_Toc226965832"/>
      <w:bookmarkStart w:id="2481" w:name="_Toc305158827"/>
      <w:bookmarkStart w:id="2482" w:name="_Toc195842924"/>
      <w:bookmarkStart w:id="2483" w:name="_Toc226309803"/>
      <w:bookmarkStart w:id="2484" w:name="_Toc150480796"/>
      <w:bookmarkStart w:id="2485" w:name="_Toc226965749"/>
      <w:bookmarkStart w:id="2486" w:name="_Toc150774763"/>
      <w:bookmarkStart w:id="2487" w:name="_Toc305158901"/>
      <w:bookmarkStart w:id="2488" w:name="_Toc265228397"/>
      <w:bookmarkStart w:id="2489" w:name="_Toc264969249"/>
      <w:bookmarkStart w:id="2490" w:name="_Toc127151558"/>
      <w:r>
        <w:rPr>
          <w:rFonts w:ascii="宋体" w:hAnsi="宋体"/>
          <w:sz w:val="24"/>
          <w:szCs w:val="20"/>
        </w:rPr>
        <w:br w:type="page"/>
      </w:r>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Start w:id="2491" w:name="_Toc150774765"/>
      <w:bookmarkStart w:id="2492" w:name="_Toc226965835"/>
      <w:bookmarkStart w:id="2493" w:name="_Toc305158830"/>
      <w:bookmarkStart w:id="2494" w:name="_Toc226965752"/>
      <w:bookmarkStart w:id="2495" w:name="_Toc127151562"/>
      <w:bookmarkStart w:id="2496" w:name="_Toc142311062"/>
      <w:bookmarkStart w:id="2497" w:name="_Toc264969252"/>
      <w:bookmarkStart w:id="2498" w:name="_Toc150480798"/>
      <w:bookmarkStart w:id="2499" w:name="_Toc305158904"/>
      <w:bookmarkStart w:id="2500" w:name="_Toc226337258"/>
      <w:bookmarkStart w:id="2501" w:name="_Toc265228400"/>
      <w:bookmarkStart w:id="2502" w:name="_Toc226309806"/>
      <w:bookmarkStart w:id="2503" w:name="_Toc195842927"/>
      <w:bookmarkStart w:id="2504" w:name="_Toc142311061"/>
      <w:bookmarkStart w:id="2505" w:name="_Toc226309805"/>
      <w:bookmarkStart w:id="2506" w:name="_Toc305158903"/>
      <w:bookmarkStart w:id="2507" w:name="_Toc150480797"/>
      <w:bookmarkStart w:id="2508" w:name="_Toc226337257"/>
      <w:bookmarkStart w:id="2509" w:name="_Toc150774764"/>
      <w:bookmarkStart w:id="2510" w:name="_Toc265228399"/>
      <w:bookmarkStart w:id="2511" w:name="_Toc195842926"/>
      <w:bookmarkStart w:id="2512" w:name="_Toc226965751"/>
      <w:bookmarkStart w:id="2513" w:name="_Toc127151561"/>
      <w:bookmarkStart w:id="2514" w:name="_Toc226965834"/>
      <w:bookmarkStart w:id="2515" w:name="_Toc305158829"/>
      <w:bookmarkStart w:id="2516" w:name="_Toc264969251"/>
      <w:r>
        <w:rPr>
          <w:rFonts w:hint="eastAsia" w:ascii="宋体" w:hAnsi="宋体"/>
          <w:sz w:val="24"/>
        </w:rPr>
        <w:t>报价清单</w:t>
      </w:r>
    </w:p>
    <w:p w14:paraId="5DF0126E">
      <w:pPr>
        <w:tabs>
          <w:tab w:val="left" w:pos="360"/>
        </w:tabs>
        <w:snapToGrid w:val="0"/>
        <w:spacing w:line="360" w:lineRule="auto"/>
        <w:rPr>
          <w:rFonts w:ascii="宋体" w:hAnsi="宋体" w:cs="宋体"/>
          <w:sz w:val="24"/>
        </w:rPr>
      </w:pPr>
      <w:r>
        <w:rPr>
          <w:rFonts w:hint="eastAsia" w:ascii="宋体" w:hAnsi="宋体" w:cs="宋体"/>
          <w:sz w:val="24"/>
        </w:rPr>
        <w:t>按照第四章采购需求第11条工程量清单报价</w:t>
      </w:r>
    </w:p>
    <w:p w14:paraId="5DFFFB86">
      <w:pPr>
        <w:tabs>
          <w:tab w:val="left" w:pos="360"/>
        </w:tabs>
        <w:snapToGrid w:val="0"/>
        <w:spacing w:line="360" w:lineRule="auto"/>
        <w:rPr>
          <w:rFonts w:ascii="宋体" w:hAnsi="宋体" w:cs="宋体"/>
          <w:sz w:val="24"/>
        </w:rPr>
      </w:pPr>
    </w:p>
    <w:p w14:paraId="582772A7">
      <w:pPr>
        <w:tabs>
          <w:tab w:val="left" w:pos="360"/>
        </w:tabs>
        <w:snapToGrid w:val="0"/>
        <w:spacing w:line="360" w:lineRule="auto"/>
        <w:rPr>
          <w:rFonts w:ascii="宋体" w:hAnsi="宋体" w:cs="宋体"/>
          <w:sz w:val="24"/>
        </w:rPr>
      </w:pPr>
    </w:p>
    <w:p w14:paraId="7F83BE02">
      <w:pPr>
        <w:tabs>
          <w:tab w:val="left" w:pos="360"/>
        </w:tabs>
        <w:snapToGrid w:val="0"/>
        <w:spacing w:line="360" w:lineRule="auto"/>
        <w:rPr>
          <w:rFonts w:ascii="宋体" w:hAnsi="宋体" w:cs="宋体"/>
          <w:sz w:val="24"/>
        </w:rPr>
      </w:pPr>
    </w:p>
    <w:p w14:paraId="0E36ACDD">
      <w:pPr>
        <w:tabs>
          <w:tab w:val="left" w:pos="360"/>
        </w:tabs>
        <w:snapToGrid w:val="0"/>
        <w:spacing w:line="360" w:lineRule="auto"/>
        <w:rPr>
          <w:rFonts w:ascii="宋体" w:hAnsi="宋体" w:cs="宋体"/>
          <w:sz w:val="24"/>
        </w:rPr>
      </w:pPr>
    </w:p>
    <w:p w14:paraId="226A7BC1">
      <w:pPr>
        <w:tabs>
          <w:tab w:val="left" w:pos="360"/>
        </w:tabs>
        <w:snapToGrid w:val="0"/>
        <w:spacing w:line="360" w:lineRule="auto"/>
        <w:rPr>
          <w:rFonts w:ascii="宋体" w:hAnsi="宋体" w:cs="宋体"/>
          <w:sz w:val="24"/>
        </w:rPr>
      </w:pPr>
    </w:p>
    <w:p w14:paraId="1164E494">
      <w:pPr>
        <w:tabs>
          <w:tab w:val="left" w:pos="360"/>
        </w:tabs>
        <w:snapToGrid w:val="0"/>
        <w:spacing w:line="360" w:lineRule="auto"/>
        <w:rPr>
          <w:rFonts w:ascii="宋体" w:hAnsi="宋体" w:cs="宋体"/>
          <w:sz w:val="24"/>
        </w:rPr>
      </w:pPr>
    </w:p>
    <w:p w14:paraId="656AD4EB">
      <w:pPr>
        <w:tabs>
          <w:tab w:val="left" w:pos="360"/>
        </w:tabs>
        <w:snapToGrid w:val="0"/>
        <w:spacing w:line="360" w:lineRule="auto"/>
        <w:rPr>
          <w:rFonts w:ascii="宋体" w:hAnsi="宋体" w:cs="宋体"/>
          <w:sz w:val="24"/>
        </w:rPr>
      </w:pPr>
    </w:p>
    <w:p w14:paraId="4A1C42CA">
      <w:pPr>
        <w:tabs>
          <w:tab w:val="left" w:pos="360"/>
        </w:tabs>
        <w:snapToGrid w:val="0"/>
        <w:spacing w:line="360" w:lineRule="auto"/>
        <w:rPr>
          <w:rFonts w:ascii="宋体" w:hAnsi="宋体" w:cs="宋体"/>
          <w:sz w:val="24"/>
        </w:rPr>
      </w:pPr>
    </w:p>
    <w:p w14:paraId="29DF016B">
      <w:pPr>
        <w:tabs>
          <w:tab w:val="left" w:pos="360"/>
        </w:tabs>
        <w:snapToGrid w:val="0"/>
        <w:spacing w:line="360" w:lineRule="auto"/>
        <w:rPr>
          <w:rFonts w:ascii="宋体" w:hAnsi="宋体" w:cs="宋体"/>
          <w:sz w:val="24"/>
        </w:rPr>
      </w:pPr>
    </w:p>
    <w:p w14:paraId="7D0D6891">
      <w:pPr>
        <w:tabs>
          <w:tab w:val="left" w:pos="360"/>
        </w:tabs>
        <w:snapToGrid w:val="0"/>
        <w:spacing w:line="360" w:lineRule="auto"/>
        <w:rPr>
          <w:rFonts w:ascii="宋体" w:hAnsi="宋体" w:cs="宋体"/>
          <w:sz w:val="24"/>
        </w:rPr>
      </w:pPr>
    </w:p>
    <w:p w14:paraId="4BCDC273">
      <w:pPr>
        <w:tabs>
          <w:tab w:val="left" w:pos="360"/>
        </w:tabs>
        <w:snapToGrid w:val="0"/>
        <w:spacing w:line="360" w:lineRule="auto"/>
        <w:rPr>
          <w:rFonts w:ascii="宋体" w:hAnsi="宋体" w:cs="宋体"/>
          <w:sz w:val="24"/>
        </w:rPr>
      </w:pPr>
    </w:p>
    <w:p w14:paraId="18C07D83">
      <w:pPr>
        <w:tabs>
          <w:tab w:val="left" w:pos="360"/>
        </w:tabs>
        <w:snapToGrid w:val="0"/>
        <w:spacing w:line="360" w:lineRule="auto"/>
        <w:rPr>
          <w:rFonts w:ascii="宋体" w:hAnsi="宋体" w:cs="宋体"/>
          <w:sz w:val="24"/>
        </w:rPr>
      </w:pPr>
    </w:p>
    <w:p w14:paraId="105049EE">
      <w:pPr>
        <w:tabs>
          <w:tab w:val="left" w:pos="360"/>
        </w:tabs>
        <w:snapToGrid w:val="0"/>
        <w:spacing w:line="360" w:lineRule="auto"/>
        <w:rPr>
          <w:rFonts w:ascii="宋体" w:hAnsi="宋体" w:cs="宋体"/>
          <w:sz w:val="24"/>
        </w:rPr>
      </w:pPr>
    </w:p>
    <w:p w14:paraId="35B58067">
      <w:pPr>
        <w:tabs>
          <w:tab w:val="left" w:pos="360"/>
        </w:tabs>
        <w:snapToGrid w:val="0"/>
        <w:spacing w:line="360" w:lineRule="auto"/>
        <w:rPr>
          <w:rFonts w:ascii="宋体" w:hAnsi="宋体" w:cs="宋体"/>
          <w:sz w:val="24"/>
        </w:rPr>
      </w:pPr>
    </w:p>
    <w:p w14:paraId="40611D4B">
      <w:pPr>
        <w:tabs>
          <w:tab w:val="left" w:pos="360"/>
        </w:tabs>
        <w:snapToGrid w:val="0"/>
        <w:spacing w:line="360" w:lineRule="auto"/>
        <w:rPr>
          <w:rFonts w:ascii="宋体" w:hAnsi="宋体" w:cs="宋体"/>
          <w:sz w:val="24"/>
        </w:rPr>
      </w:pPr>
      <w:r>
        <w:rPr>
          <w:rFonts w:hint="eastAsia" w:ascii="宋体" w:hAnsi="宋体" w:cs="宋体"/>
          <w:sz w:val="24"/>
        </w:rPr>
        <w:t>备注：响应文件的报价清单必须有供应商单位盖章，并在指定位置由注册造价工程师签字，加盖个人执业印章。</w:t>
      </w:r>
    </w:p>
    <w:p w14:paraId="68ADA960">
      <w:pPr>
        <w:tabs>
          <w:tab w:val="left" w:pos="360"/>
        </w:tabs>
        <w:snapToGrid w:val="0"/>
        <w:spacing w:line="360" w:lineRule="auto"/>
        <w:rPr>
          <w:rFonts w:ascii="宋体" w:hAnsi="宋体" w:cs="宋体"/>
          <w:sz w:val="24"/>
        </w:rPr>
      </w:pPr>
    </w:p>
    <w:p w14:paraId="19E1E973">
      <w:pPr>
        <w:tabs>
          <w:tab w:val="left" w:pos="360"/>
        </w:tabs>
        <w:snapToGrid w:val="0"/>
        <w:spacing w:line="360" w:lineRule="auto"/>
        <w:rPr>
          <w:rFonts w:ascii="宋体" w:hAnsi="宋体" w:cs="宋体"/>
          <w:sz w:val="24"/>
        </w:rPr>
      </w:pPr>
    </w:p>
    <w:p w14:paraId="0AC5B1EE">
      <w:pPr>
        <w:tabs>
          <w:tab w:val="left" w:pos="360"/>
        </w:tabs>
        <w:snapToGrid w:val="0"/>
        <w:spacing w:line="360" w:lineRule="auto"/>
        <w:rPr>
          <w:rFonts w:ascii="宋体" w:hAnsi="宋体" w:cs="宋体"/>
          <w:sz w:val="24"/>
        </w:rPr>
      </w:pPr>
    </w:p>
    <w:p w14:paraId="5F3D252C">
      <w:pPr>
        <w:tabs>
          <w:tab w:val="left" w:pos="360"/>
        </w:tabs>
        <w:snapToGrid w:val="0"/>
        <w:spacing w:line="360" w:lineRule="auto"/>
        <w:rPr>
          <w:rFonts w:ascii="宋体" w:hAnsi="宋体" w:cs="宋体"/>
          <w:sz w:val="24"/>
        </w:rPr>
      </w:pPr>
    </w:p>
    <w:p w14:paraId="47C7FCD3">
      <w:pPr>
        <w:tabs>
          <w:tab w:val="left" w:pos="360"/>
        </w:tabs>
        <w:snapToGrid w:val="0"/>
        <w:spacing w:line="360" w:lineRule="auto"/>
        <w:rPr>
          <w:rFonts w:ascii="宋体" w:hAnsi="宋体" w:cs="宋体"/>
          <w:sz w:val="24"/>
        </w:rPr>
      </w:pPr>
    </w:p>
    <w:p w14:paraId="5E3AFD72">
      <w:pPr>
        <w:tabs>
          <w:tab w:val="left" w:pos="360"/>
        </w:tabs>
        <w:snapToGrid w:val="0"/>
        <w:spacing w:line="360" w:lineRule="auto"/>
        <w:rPr>
          <w:rFonts w:ascii="宋体" w:hAnsi="宋体" w:cs="宋体"/>
          <w:sz w:val="24"/>
        </w:rPr>
      </w:pPr>
    </w:p>
    <w:p w14:paraId="1819F39B">
      <w:pPr>
        <w:tabs>
          <w:tab w:val="left" w:pos="360"/>
        </w:tabs>
        <w:snapToGrid w:val="0"/>
        <w:spacing w:line="360" w:lineRule="auto"/>
        <w:rPr>
          <w:rFonts w:ascii="宋体" w:hAnsi="宋体" w:cs="宋体"/>
          <w:sz w:val="24"/>
        </w:rPr>
      </w:pPr>
    </w:p>
    <w:p w14:paraId="36A33815">
      <w:pPr>
        <w:tabs>
          <w:tab w:val="left" w:pos="360"/>
        </w:tabs>
        <w:snapToGrid w:val="0"/>
        <w:spacing w:line="360" w:lineRule="auto"/>
        <w:rPr>
          <w:rFonts w:ascii="宋体" w:hAnsi="宋体"/>
          <w:sz w:val="24"/>
        </w:rPr>
      </w:pPr>
    </w:p>
    <w:p w14:paraId="51E9FE03">
      <w:pPr>
        <w:widowControl/>
        <w:jc w:val="left"/>
        <w:rPr>
          <w:rFonts w:ascii="宋体" w:hAnsi="宋体"/>
          <w:sz w:val="24"/>
        </w:rPr>
      </w:pPr>
      <w:r>
        <w:rPr>
          <w:rFonts w:ascii="宋体" w:hAnsi="宋体"/>
          <w:sz w:val="24"/>
        </w:rPr>
        <w:br w:type="page"/>
      </w:r>
    </w:p>
    <w:p w14:paraId="2EAB4F01">
      <w:pPr>
        <w:pStyle w:val="272"/>
        <w:numPr>
          <w:ilvl w:val="0"/>
          <w:numId w:val="24"/>
        </w:numPr>
        <w:tabs>
          <w:tab w:val="left" w:pos="360"/>
        </w:tabs>
        <w:snapToGrid w:val="0"/>
        <w:spacing w:line="360" w:lineRule="auto"/>
        <w:ind w:firstLineChars="0"/>
        <w:outlineLvl w:val="1"/>
        <w:rPr>
          <w:rFonts w:ascii="宋体" w:hAnsi="宋体"/>
          <w:sz w:val="24"/>
        </w:rPr>
      </w:pPr>
      <w:r>
        <w:rPr>
          <w:rFonts w:ascii="宋体" w:hAnsi="宋体"/>
          <w:sz w:val="24"/>
        </w:rPr>
        <w:t>合同条款偏离表</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p>
    <w:p w14:paraId="7D0296E0">
      <w:pPr>
        <w:spacing w:line="360" w:lineRule="auto"/>
        <w:rPr>
          <w:rFonts w:ascii="宋体" w:hAnsi="宋体"/>
          <w:sz w:val="24"/>
          <w:szCs w:val="20"/>
        </w:rPr>
      </w:pPr>
    </w:p>
    <w:p w14:paraId="67631472">
      <w:pPr>
        <w:tabs>
          <w:tab w:val="left" w:pos="2775"/>
          <w:tab w:val="center" w:pos="4153"/>
        </w:tabs>
        <w:autoSpaceDE w:val="0"/>
        <w:autoSpaceDN w:val="0"/>
        <w:adjustRightInd w:val="0"/>
        <w:spacing w:line="360" w:lineRule="auto"/>
        <w:jc w:val="left"/>
        <w:rPr>
          <w:rFonts w:ascii="宋体" w:hAnsi="宋体"/>
          <w:b/>
          <w:sz w:val="36"/>
          <w:szCs w:val="36"/>
        </w:rPr>
      </w:pPr>
      <w:r>
        <w:rPr>
          <w:rFonts w:ascii="宋体" w:hAnsi="宋体"/>
          <w:sz w:val="36"/>
          <w:szCs w:val="36"/>
        </w:rPr>
        <w:tab/>
      </w:r>
      <w:r>
        <w:rPr>
          <w:rFonts w:ascii="宋体" w:hAnsi="宋体"/>
          <w:b/>
          <w:sz w:val="36"/>
          <w:szCs w:val="36"/>
        </w:rPr>
        <w:tab/>
      </w:r>
      <w:r>
        <w:rPr>
          <w:rFonts w:hint="eastAsia" w:ascii="宋体" w:hAnsi="宋体"/>
          <w:b/>
          <w:sz w:val="36"/>
          <w:szCs w:val="36"/>
        </w:rPr>
        <w:t>合同条款偏离表</w:t>
      </w:r>
    </w:p>
    <w:p w14:paraId="5F144A08">
      <w:pPr>
        <w:spacing w:line="360" w:lineRule="auto"/>
        <w:rPr>
          <w:rFonts w:ascii="宋体" w:hAnsi="宋体"/>
          <w:sz w:val="24"/>
          <w:szCs w:val="20"/>
        </w:rPr>
      </w:pPr>
    </w:p>
    <w:p w14:paraId="2868EEF9">
      <w:pPr>
        <w:tabs>
          <w:tab w:val="left" w:pos="1800"/>
          <w:tab w:val="left" w:pos="5580"/>
        </w:tabs>
        <w:spacing w:line="360" w:lineRule="auto"/>
        <w:ind w:firstLine="360" w:firstLineChars="150"/>
        <w:jc w:val="left"/>
        <w:rPr>
          <w:rFonts w:ascii="宋体" w:hAnsi="宋体"/>
          <w:sz w:val="24"/>
        </w:rPr>
      </w:pPr>
      <w:r>
        <w:rPr>
          <w:rFonts w:ascii="宋体" w:hAnsi="宋体"/>
          <w:sz w:val="24"/>
        </w:rPr>
        <w:t xml:space="preserve">项目名称：_______________    </w:t>
      </w:r>
      <w:r>
        <w:rPr>
          <w:rFonts w:hint="eastAsia" w:ascii="宋体" w:hAnsi="宋体"/>
          <w:sz w:val="24"/>
        </w:rPr>
        <w:t xml:space="preserve">    </w:t>
      </w:r>
      <w:r>
        <w:rPr>
          <w:rFonts w:ascii="宋体" w:hAnsi="宋体"/>
          <w:sz w:val="24"/>
        </w:rPr>
        <w:t xml:space="preserve"> 项目编号：_______________</w:t>
      </w:r>
    </w:p>
    <w:tbl>
      <w:tblPr>
        <w:tblStyle w:val="67"/>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290"/>
        <w:gridCol w:w="1980"/>
        <w:gridCol w:w="1981"/>
        <w:gridCol w:w="2427"/>
        <w:gridCol w:w="976"/>
      </w:tblGrid>
      <w:tr w14:paraId="0950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548" w:type="dxa"/>
            <w:gridSpan w:val="6"/>
            <w:vAlign w:val="center"/>
          </w:tcPr>
          <w:p w14:paraId="5CA486AB">
            <w:pPr>
              <w:adjustRightInd w:val="0"/>
              <w:snapToGrid w:val="0"/>
              <w:jc w:val="left"/>
              <w:rPr>
                <w:rFonts w:ascii="宋体" w:hAnsi="宋体"/>
                <w:b/>
                <w:sz w:val="24"/>
              </w:rPr>
            </w:pPr>
            <w:r>
              <w:rPr>
                <w:rFonts w:hint="eastAsia" w:ascii="宋体" w:hAnsi="宋体"/>
                <w:b/>
                <w:sz w:val="24"/>
              </w:rPr>
              <w:t>对本项目合同条款的偏离情况（请进行勾选）：</w:t>
            </w:r>
          </w:p>
          <w:p w14:paraId="2ECF4183">
            <w:pPr>
              <w:adjustRightInd w:val="0"/>
              <w:snapToGrid w:val="0"/>
              <w:jc w:val="left"/>
              <w:rPr>
                <w:rFonts w:ascii="宋体" w:hAnsi="宋体"/>
                <w:b/>
                <w:sz w:val="24"/>
              </w:rPr>
            </w:pPr>
            <w:r>
              <w:rPr>
                <w:rFonts w:ascii="宋体" w:hAnsi="宋体"/>
                <w:b/>
                <w:sz w:val="24"/>
              </w:rPr>
              <w:t>□无偏离</w:t>
            </w:r>
            <w:r>
              <w:rPr>
                <w:rFonts w:ascii="宋体" w:hAnsi="宋体"/>
                <w:sz w:val="24"/>
              </w:rPr>
              <w:t>（</w:t>
            </w:r>
            <w:r>
              <w:rPr>
                <w:rFonts w:ascii="宋体" w:hAnsi="宋体"/>
                <w:sz w:val="24"/>
                <w:szCs w:val="21"/>
              </w:rPr>
              <w:t>如无偏离，仅勾选无偏离即可</w:t>
            </w:r>
            <w:r>
              <w:rPr>
                <w:rFonts w:ascii="宋体" w:hAnsi="宋体"/>
                <w:sz w:val="24"/>
              </w:rPr>
              <w:t>）</w:t>
            </w:r>
          </w:p>
          <w:p w14:paraId="60110DF0">
            <w:pPr>
              <w:adjustRightInd w:val="0"/>
              <w:snapToGrid w:val="0"/>
              <w:jc w:val="left"/>
              <w:rPr>
                <w:rFonts w:ascii="宋体" w:hAnsi="宋体"/>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14:paraId="7DFE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4" w:type="dxa"/>
            <w:vAlign w:val="center"/>
          </w:tcPr>
          <w:p w14:paraId="73DA088C">
            <w:pPr>
              <w:adjustRightInd w:val="0"/>
              <w:snapToGrid w:val="0"/>
              <w:jc w:val="center"/>
              <w:rPr>
                <w:rFonts w:ascii="宋体" w:hAnsi="宋体"/>
                <w:sz w:val="24"/>
              </w:rPr>
            </w:pPr>
            <w:r>
              <w:rPr>
                <w:rFonts w:ascii="宋体" w:hAnsi="宋体"/>
                <w:sz w:val="24"/>
              </w:rPr>
              <w:t>序号</w:t>
            </w:r>
          </w:p>
        </w:tc>
        <w:tc>
          <w:tcPr>
            <w:tcW w:w="1290" w:type="dxa"/>
            <w:vAlign w:val="center"/>
          </w:tcPr>
          <w:p w14:paraId="0E86C95D">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条目号（页码）</w:t>
            </w:r>
          </w:p>
        </w:tc>
        <w:tc>
          <w:tcPr>
            <w:tcW w:w="1980" w:type="dxa"/>
            <w:vAlign w:val="center"/>
          </w:tcPr>
          <w:p w14:paraId="63E7BAD7">
            <w:pPr>
              <w:adjustRightInd w:val="0"/>
              <w:snapToGrid w:val="0"/>
              <w:jc w:val="center"/>
              <w:rPr>
                <w:rFonts w:ascii="宋体" w:hAnsi="宋体"/>
                <w:sz w:val="24"/>
              </w:rPr>
            </w:pPr>
            <w:r>
              <w:rPr>
                <w:rFonts w:ascii="宋体" w:hAnsi="宋体"/>
                <w:sz w:val="24"/>
                <w:szCs w:val="21"/>
              </w:rPr>
              <w:t>竞争性磋商文件</w:t>
            </w:r>
            <w:r>
              <w:rPr>
                <w:rFonts w:ascii="宋体" w:hAnsi="宋体"/>
                <w:sz w:val="24"/>
              </w:rPr>
              <w:t>要求</w:t>
            </w:r>
          </w:p>
        </w:tc>
        <w:tc>
          <w:tcPr>
            <w:tcW w:w="1981" w:type="dxa"/>
            <w:vAlign w:val="center"/>
          </w:tcPr>
          <w:p w14:paraId="4BF7C3F0">
            <w:pPr>
              <w:adjustRightInd w:val="0"/>
              <w:snapToGrid w:val="0"/>
              <w:jc w:val="center"/>
              <w:rPr>
                <w:rFonts w:ascii="宋体" w:hAnsi="宋体"/>
                <w:sz w:val="24"/>
              </w:rPr>
            </w:pPr>
            <w:r>
              <w:rPr>
                <w:rFonts w:ascii="宋体" w:hAnsi="宋体"/>
                <w:sz w:val="24"/>
              </w:rPr>
              <w:t>响应文件内容</w:t>
            </w:r>
          </w:p>
        </w:tc>
        <w:tc>
          <w:tcPr>
            <w:tcW w:w="2427" w:type="dxa"/>
            <w:vAlign w:val="center"/>
          </w:tcPr>
          <w:p w14:paraId="7B24B55C">
            <w:pPr>
              <w:adjustRightInd w:val="0"/>
              <w:snapToGrid w:val="0"/>
              <w:jc w:val="center"/>
              <w:rPr>
                <w:rFonts w:ascii="宋体" w:hAnsi="宋体"/>
                <w:sz w:val="24"/>
              </w:rPr>
            </w:pPr>
            <w:r>
              <w:rPr>
                <w:rFonts w:ascii="宋体" w:hAnsi="宋体"/>
                <w:sz w:val="24"/>
              </w:rPr>
              <w:t>偏离情况</w:t>
            </w:r>
          </w:p>
          <w:p w14:paraId="4A4E8F32">
            <w:pPr>
              <w:adjustRightInd w:val="0"/>
              <w:snapToGrid w:val="0"/>
              <w:jc w:val="center"/>
              <w:rPr>
                <w:rFonts w:ascii="宋体" w:hAnsi="宋体"/>
                <w:sz w:val="24"/>
              </w:rPr>
            </w:pPr>
            <w:r>
              <w:rPr>
                <w:rFonts w:ascii="宋体" w:hAnsi="宋体"/>
                <w:sz w:val="24"/>
              </w:rPr>
              <w:t>（据实填写）</w:t>
            </w:r>
          </w:p>
        </w:tc>
        <w:tc>
          <w:tcPr>
            <w:tcW w:w="976" w:type="dxa"/>
            <w:vAlign w:val="center"/>
          </w:tcPr>
          <w:p w14:paraId="42D845E8">
            <w:pPr>
              <w:adjustRightInd w:val="0"/>
              <w:snapToGrid w:val="0"/>
              <w:jc w:val="center"/>
              <w:rPr>
                <w:rFonts w:ascii="宋体" w:hAnsi="宋体"/>
                <w:sz w:val="24"/>
              </w:rPr>
            </w:pPr>
            <w:r>
              <w:rPr>
                <w:rFonts w:ascii="宋体" w:hAnsi="宋体"/>
                <w:sz w:val="24"/>
              </w:rPr>
              <w:t>说明</w:t>
            </w:r>
          </w:p>
        </w:tc>
      </w:tr>
      <w:tr w14:paraId="67B3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4" w:type="dxa"/>
            <w:vAlign w:val="center"/>
          </w:tcPr>
          <w:p w14:paraId="31120D18">
            <w:pPr>
              <w:adjustRightInd w:val="0"/>
              <w:snapToGrid w:val="0"/>
              <w:jc w:val="center"/>
              <w:rPr>
                <w:rFonts w:ascii="宋体" w:hAnsi="宋体"/>
                <w:sz w:val="24"/>
              </w:rPr>
            </w:pPr>
          </w:p>
        </w:tc>
        <w:tc>
          <w:tcPr>
            <w:tcW w:w="1290" w:type="dxa"/>
            <w:vAlign w:val="center"/>
          </w:tcPr>
          <w:p w14:paraId="1C8D2CE9">
            <w:pPr>
              <w:adjustRightInd w:val="0"/>
              <w:snapToGrid w:val="0"/>
              <w:jc w:val="center"/>
              <w:rPr>
                <w:rFonts w:ascii="宋体" w:hAnsi="宋体"/>
                <w:sz w:val="24"/>
              </w:rPr>
            </w:pPr>
          </w:p>
        </w:tc>
        <w:tc>
          <w:tcPr>
            <w:tcW w:w="1980" w:type="dxa"/>
            <w:vAlign w:val="center"/>
          </w:tcPr>
          <w:p w14:paraId="6F009C4A">
            <w:pPr>
              <w:adjustRightInd w:val="0"/>
              <w:snapToGrid w:val="0"/>
              <w:jc w:val="center"/>
              <w:rPr>
                <w:rFonts w:ascii="宋体" w:hAnsi="宋体"/>
                <w:sz w:val="24"/>
              </w:rPr>
            </w:pPr>
          </w:p>
        </w:tc>
        <w:tc>
          <w:tcPr>
            <w:tcW w:w="1981" w:type="dxa"/>
            <w:vAlign w:val="center"/>
          </w:tcPr>
          <w:p w14:paraId="0578C530">
            <w:pPr>
              <w:adjustRightInd w:val="0"/>
              <w:snapToGrid w:val="0"/>
              <w:jc w:val="center"/>
              <w:rPr>
                <w:rFonts w:ascii="宋体" w:hAnsi="宋体"/>
                <w:sz w:val="24"/>
              </w:rPr>
            </w:pPr>
          </w:p>
        </w:tc>
        <w:tc>
          <w:tcPr>
            <w:tcW w:w="2427" w:type="dxa"/>
            <w:vAlign w:val="center"/>
          </w:tcPr>
          <w:p w14:paraId="0531711F">
            <w:pPr>
              <w:adjustRightInd w:val="0"/>
              <w:snapToGrid w:val="0"/>
              <w:jc w:val="center"/>
              <w:rPr>
                <w:rFonts w:ascii="宋体" w:hAnsi="宋体"/>
                <w:sz w:val="24"/>
              </w:rPr>
            </w:pPr>
          </w:p>
        </w:tc>
        <w:tc>
          <w:tcPr>
            <w:tcW w:w="976" w:type="dxa"/>
            <w:vAlign w:val="center"/>
          </w:tcPr>
          <w:p w14:paraId="54CD6BF5">
            <w:pPr>
              <w:adjustRightInd w:val="0"/>
              <w:snapToGrid w:val="0"/>
              <w:jc w:val="center"/>
              <w:rPr>
                <w:rFonts w:ascii="宋体" w:hAnsi="宋体"/>
                <w:sz w:val="24"/>
              </w:rPr>
            </w:pPr>
          </w:p>
        </w:tc>
      </w:tr>
      <w:tr w14:paraId="2729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4" w:type="dxa"/>
            <w:vAlign w:val="center"/>
          </w:tcPr>
          <w:p w14:paraId="690D4C31">
            <w:pPr>
              <w:adjustRightInd w:val="0"/>
              <w:snapToGrid w:val="0"/>
              <w:jc w:val="center"/>
              <w:rPr>
                <w:rFonts w:ascii="宋体" w:hAnsi="宋体"/>
                <w:sz w:val="24"/>
              </w:rPr>
            </w:pPr>
          </w:p>
        </w:tc>
        <w:tc>
          <w:tcPr>
            <w:tcW w:w="1290" w:type="dxa"/>
            <w:vAlign w:val="center"/>
          </w:tcPr>
          <w:p w14:paraId="3E30E11F">
            <w:pPr>
              <w:adjustRightInd w:val="0"/>
              <w:snapToGrid w:val="0"/>
              <w:jc w:val="center"/>
              <w:rPr>
                <w:rFonts w:ascii="宋体" w:hAnsi="宋体"/>
                <w:sz w:val="24"/>
              </w:rPr>
            </w:pPr>
          </w:p>
        </w:tc>
        <w:tc>
          <w:tcPr>
            <w:tcW w:w="1980" w:type="dxa"/>
            <w:vAlign w:val="center"/>
          </w:tcPr>
          <w:p w14:paraId="74393C9F">
            <w:pPr>
              <w:adjustRightInd w:val="0"/>
              <w:snapToGrid w:val="0"/>
              <w:jc w:val="center"/>
              <w:rPr>
                <w:rFonts w:ascii="宋体" w:hAnsi="宋体"/>
                <w:sz w:val="24"/>
              </w:rPr>
            </w:pPr>
          </w:p>
        </w:tc>
        <w:tc>
          <w:tcPr>
            <w:tcW w:w="1981" w:type="dxa"/>
            <w:vAlign w:val="center"/>
          </w:tcPr>
          <w:p w14:paraId="52D7A236">
            <w:pPr>
              <w:adjustRightInd w:val="0"/>
              <w:snapToGrid w:val="0"/>
              <w:jc w:val="center"/>
              <w:rPr>
                <w:rFonts w:ascii="宋体" w:hAnsi="宋体"/>
                <w:sz w:val="24"/>
              </w:rPr>
            </w:pPr>
          </w:p>
        </w:tc>
        <w:tc>
          <w:tcPr>
            <w:tcW w:w="2427" w:type="dxa"/>
            <w:vAlign w:val="center"/>
          </w:tcPr>
          <w:p w14:paraId="3576D499">
            <w:pPr>
              <w:adjustRightInd w:val="0"/>
              <w:snapToGrid w:val="0"/>
              <w:jc w:val="center"/>
              <w:rPr>
                <w:rFonts w:ascii="宋体" w:hAnsi="宋体"/>
                <w:sz w:val="24"/>
              </w:rPr>
            </w:pPr>
          </w:p>
        </w:tc>
        <w:tc>
          <w:tcPr>
            <w:tcW w:w="976" w:type="dxa"/>
            <w:vAlign w:val="center"/>
          </w:tcPr>
          <w:p w14:paraId="2AC6C966">
            <w:pPr>
              <w:adjustRightInd w:val="0"/>
              <w:snapToGrid w:val="0"/>
              <w:jc w:val="center"/>
              <w:rPr>
                <w:rFonts w:ascii="宋体" w:hAnsi="宋体"/>
                <w:sz w:val="24"/>
              </w:rPr>
            </w:pPr>
          </w:p>
        </w:tc>
      </w:tr>
      <w:tr w14:paraId="5214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4" w:type="dxa"/>
            <w:vAlign w:val="center"/>
          </w:tcPr>
          <w:p w14:paraId="703FD59F">
            <w:pPr>
              <w:adjustRightInd w:val="0"/>
              <w:snapToGrid w:val="0"/>
              <w:jc w:val="center"/>
              <w:rPr>
                <w:rFonts w:ascii="宋体" w:hAnsi="宋体"/>
                <w:sz w:val="24"/>
              </w:rPr>
            </w:pPr>
          </w:p>
        </w:tc>
        <w:tc>
          <w:tcPr>
            <w:tcW w:w="1290" w:type="dxa"/>
            <w:vAlign w:val="center"/>
          </w:tcPr>
          <w:p w14:paraId="5BF31F3C">
            <w:pPr>
              <w:adjustRightInd w:val="0"/>
              <w:snapToGrid w:val="0"/>
              <w:jc w:val="center"/>
              <w:rPr>
                <w:rFonts w:ascii="宋体" w:hAnsi="宋体"/>
                <w:sz w:val="24"/>
              </w:rPr>
            </w:pPr>
          </w:p>
        </w:tc>
        <w:tc>
          <w:tcPr>
            <w:tcW w:w="1980" w:type="dxa"/>
            <w:vAlign w:val="center"/>
          </w:tcPr>
          <w:p w14:paraId="19021EFC">
            <w:pPr>
              <w:adjustRightInd w:val="0"/>
              <w:snapToGrid w:val="0"/>
              <w:jc w:val="center"/>
              <w:rPr>
                <w:rFonts w:ascii="宋体" w:hAnsi="宋体"/>
                <w:sz w:val="24"/>
              </w:rPr>
            </w:pPr>
          </w:p>
        </w:tc>
        <w:tc>
          <w:tcPr>
            <w:tcW w:w="1981" w:type="dxa"/>
            <w:vAlign w:val="center"/>
          </w:tcPr>
          <w:p w14:paraId="016B6964">
            <w:pPr>
              <w:adjustRightInd w:val="0"/>
              <w:snapToGrid w:val="0"/>
              <w:jc w:val="center"/>
              <w:rPr>
                <w:rFonts w:ascii="宋体" w:hAnsi="宋体"/>
                <w:sz w:val="24"/>
              </w:rPr>
            </w:pPr>
          </w:p>
        </w:tc>
        <w:tc>
          <w:tcPr>
            <w:tcW w:w="2427" w:type="dxa"/>
            <w:vAlign w:val="center"/>
          </w:tcPr>
          <w:p w14:paraId="10B6CB84">
            <w:pPr>
              <w:adjustRightInd w:val="0"/>
              <w:snapToGrid w:val="0"/>
              <w:jc w:val="center"/>
              <w:rPr>
                <w:rFonts w:ascii="宋体" w:hAnsi="宋体"/>
                <w:sz w:val="24"/>
              </w:rPr>
            </w:pPr>
          </w:p>
        </w:tc>
        <w:tc>
          <w:tcPr>
            <w:tcW w:w="976" w:type="dxa"/>
            <w:vAlign w:val="center"/>
          </w:tcPr>
          <w:p w14:paraId="4FAA448B">
            <w:pPr>
              <w:adjustRightInd w:val="0"/>
              <w:snapToGrid w:val="0"/>
              <w:jc w:val="center"/>
              <w:rPr>
                <w:rFonts w:ascii="宋体" w:hAnsi="宋体"/>
                <w:sz w:val="24"/>
              </w:rPr>
            </w:pPr>
          </w:p>
        </w:tc>
      </w:tr>
      <w:tr w14:paraId="073F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4" w:type="dxa"/>
            <w:vAlign w:val="center"/>
          </w:tcPr>
          <w:p w14:paraId="768CB6AA">
            <w:pPr>
              <w:adjustRightInd w:val="0"/>
              <w:snapToGrid w:val="0"/>
              <w:jc w:val="center"/>
              <w:rPr>
                <w:rFonts w:ascii="宋体" w:hAnsi="宋体"/>
                <w:sz w:val="24"/>
              </w:rPr>
            </w:pPr>
          </w:p>
        </w:tc>
        <w:tc>
          <w:tcPr>
            <w:tcW w:w="1290" w:type="dxa"/>
            <w:vAlign w:val="center"/>
          </w:tcPr>
          <w:p w14:paraId="0F488947">
            <w:pPr>
              <w:adjustRightInd w:val="0"/>
              <w:snapToGrid w:val="0"/>
              <w:jc w:val="center"/>
              <w:rPr>
                <w:rFonts w:ascii="宋体" w:hAnsi="宋体"/>
                <w:sz w:val="24"/>
              </w:rPr>
            </w:pPr>
          </w:p>
        </w:tc>
        <w:tc>
          <w:tcPr>
            <w:tcW w:w="1980" w:type="dxa"/>
            <w:vAlign w:val="center"/>
          </w:tcPr>
          <w:p w14:paraId="6CC72376">
            <w:pPr>
              <w:adjustRightInd w:val="0"/>
              <w:snapToGrid w:val="0"/>
              <w:jc w:val="center"/>
              <w:rPr>
                <w:rFonts w:ascii="宋体" w:hAnsi="宋体"/>
                <w:sz w:val="24"/>
              </w:rPr>
            </w:pPr>
          </w:p>
        </w:tc>
        <w:tc>
          <w:tcPr>
            <w:tcW w:w="1981" w:type="dxa"/>
            <w:vAlign w:val="center"/>
          </w:tcPr>
          <w:p w14:paraId="2EA84853">
            <w:pPr>
              <w:adjustRightInd w:val="0"/>
              <w:snapToGrid w:val="0"/>
              <w:jc w:val="center"/>
              <w:rPr>
                <w:rFonts w:ascii="宋体" w:hAnsi="宋体"/>
                <w:sz w:val="24"/>
              </w:rPr>
            </w:pPr>
          </w:p>
        </w:tc>
        <w:tc>
          <w:tcPr>
            <w:tcW w:w="2427" w:type="dxa"/>
            <w:vAlign w:val="center"/>
          </w:tcPr>
          <w:p w14:paraId="08EB65B5">
            <w:pPr>
              <w:adjustRightInd w:val="0"/>
              <w:snapToGrid w:val="0"/>
              <w:jc w:val="center"/>
              <w:rPr>
                <w:rFonts w:ascii="宋体" w:hAnsi="宋体"/>
                <w:sz w:val="24"/>
              </w:rPr>
            </w:pPr>
          </w:p>
        </w:tc>
        <w:tc>
          <w:tcPr>
            <w:tcW w:w="976" w:type="dxa"/>
            <w:vAlign w:val="center"/>
          </w:tcPr>
          <w:p w14:paraId="49A98428">
            <w:pPr>
              <w:adjustRightInd w:val="0"/>
              <w:snapToGrid w:val="0"/>
              <w:jc w:val="center"/>
              <w:rPr>
                <w:rFonts w:ascii="宋体" w:hAnsi="宋体"/>
                <w:sz w:val="24"/>
              </w:rPr>
            </w:pPr>
          </w:p>
        </w:tc>
      </w:tr>
    </w:tbl>
    <w:p w14:paraId="334B844F">
      <w:pPr>
        <w:tabs>
          <w:tab w:val="left" w:pos="1800"/>
          <w:tab w:val="left" w:pos="5580"/>
        </w:tabs>
        <w:jc w:val="left"/>
        <w:rPr>
          <w:rFonts w:ascii="宋体" w:hAnsi="宋体"/>
          <w:sz w:val="24"/>
        </w:rPr>
      </w:pPr>
    </w:p>
    <w:p w14:paraId="731F988C">
      <w:pPr>
        <w:tabs>
          <w:tab w:val="left" w:pos="1800"/>
          <w:tab w:val="left" w:pos="5580"/>
        </w:tabs>
        <w:jc w:val="left"/>
        <w:rPr>
          <w:rFonts w:ascii="宋体" w:hAnsi="宋体"/>
          <w:sz w:val="24"/>
        </w:rPr>
      </w:pPr>
      <w:r>
        <w:rPr>
          <w:rFonts w:hint="eastAsia" w:ascii="宋体" w:hAnsi="宋体"/>
          <w:sz w:val="24"/>
        </w:rPr>
        <w:t>注：</w:t>
      </w:r>
    </w:p>
    <w:p w14:paraId="1E2C2880">
      <w:pPr>
        <w:tabs>
          <w:tab w:val="left" w:pos="1800"/>
          <w:tab w:val="left" w:pos="5580"/>
        </w:tabs>
        <w:jc w:val="left"/>
        <w:rPr>
          <w:rFonts w:ascii="宋体" w:hAnsi="宋体"/>
          <w:sz w:val="24"/>
        </w:rPr>
      </w:pPr>
      <w:r>
        <w:rPr>
          <w:rFonts w:ascii="宋体" w:hAnsi="宋体"/>
          <w:sz w:val="24"/>
        </w:rPr>
        <w:t xml:space="preserve">1. </w:t>
      </w:r>
      <w:r>
        <w:rPr>
          <w:rFonts w:hint="eastAsia" w:ascii="宋体" w:hAnsi="宋体"/>
          <w:sz w:val="24"/>
        </w:rPr>
        <w:t>对合同条款中的所有要求，除本表所列明的所有偏离外，均视作供应商已对之理解和响应。</w:t>
      </w:r>
    </w:p>
    <w:p w14:paraId="1F1A70DF">
      <w:pPr>
        <w:tabs>
          <w:tab w:val="left" w:pos="1800"/>
          <w:tab w:val="left" w:pos="5580"/>
        </w:tabs>
        <w:jc w:val="left"/>
        <w:rPr>
          <w:rFonts w:ascii="宋体" w:hAnsi="宋体"/>
          <w:sz w:val="24"/>
        </w:rPr>
      </w:pPr>
      <w:r>
        <w:rPr>
          <w:rFonts w:ascii="宋体" w:hAnsi="宋体"/>
          <w:sz w:val="24"/>
        </w:rPr>
        <w:t xml:space="preserve">2. </w:t>
      </w:r>
      <w:r>
        <w:rPr>
          <w:rFonts w:hint="eastAsia" w:ascii="宋体" w:hAnsi="宋体"/>
          <w:sz w:val="24"/>
        </w:rPr>
        <w:t>“偏离情况”列应据实填写“正偏离”或“负偏离”。</w:t>
      </w:r>
    </w:p>
    <w:p w14:paraId="5468E198">
      <w:pPr>
        <w:spacing w:line="360" w:lineRule="auto"/>
        <w:rPr>
          <w:rFonts w:ascii="宋体" w:hAnsi="宋体"/>
          <w:sz w:val="24"/>
          <w:szCs w:val="20"/>
        </w:rPr>
      </w:pPr>
    </w:p>
    <w:p w14:paraId="56A3621A">
      <w:pPr>
        <w:autoSpaceDE w:val="0"/>
        <w:autoSpaceDN w:val="0"/>
        <w:adjustRightInd w:val="0"/>
        <w:snapToGrid w:val="0"/>
        <w:spacing w:before="25" w:after="25" w:line="360" w:lineRule="auto"/>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54F77023">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日期：____年____月____日    </w:t>
      </w:r>
    </w:p>
    <w:p w14:paraId="3395CFC0">
      <w:pPr>
        <w:pStyle w:val="272"/>
        <w:numPr>
          <w:ilvl w:val="0"/>
          <w:numId w:val="24"/>
        </w:numPr>
        <w:tabs>
          <w:tab w:val="left" w:pos="360"/>
        </w:tabs>
        <w:snapToGrid w:val="0"/>
        <w:spacing w:line="360" w:lineRule="auto"/>
        <w:ind w:firstLineChars="0"/>
        <w:outlineLvl w:val="1"/>
        <w:rPr>
          <w:rFonts w:ascii="宋体" w:hAnsi="宋体"/>
          <w:sz w:val="24"/>
        </w:rPr>
      </w:pPr>
      <w:r>
        <w:rPr>
          <w:rFonts w:ascii="宋体" w:hAnsi="宋体"/>
          <w:sz w:val="24"/>
          <w:szCs w:val="20"/>
        </w:rPr>
        <w:br w:type="page"/>
      </w:r>
      <w:bookmarkEnd w:id="2504"/>
      <w:bookmarkEnd w:id="2505"/>
      <w:bookmarkEnd w:id="2506"/>
      <w:bookmarkEnd w:id="2507"/>
      <w:bookmarkEnd w:id="2508"/>
      <w:bookmarkEnd w:id="2509"/>
      <w:bookmarkEnd w:id="2510"/>
      <w:bookmarkEnd w:id="2511"/>
      <w:bookmarkEnd w:id="2512"/>
      <w:bookmarkEnd w:id="2513"/>
      <w:bookmarkEnd w:id="2514"/>
      <w:bookmarkEnd w:id="2515"/>
      <w:bookmarkEnd w:id="2516"/>
      <w:r>
        <w:rPr>
          <w:rFonts w:ascii="宋体" w:hAnsi="宋体"/>
          <w:sz w:val="24"/>
        </w:rPr>
        <w:t>采购需求偏离表</w:t>
      </w:r>
    </w:p>
    <w:p w14:paraId="154FB4D8">
      <w:p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采购需求偏离表</w:t>
      </w:r>
    </w:p>
    <w:p w14:paraId="2DD98FDF">
      <w:pPr>
        <w:tabs>
          <w:tab w:val="left" w:pos="1800"/>
          <w:tab w:val="left" w:pos="5580"/>
        </w:tabs>
        <w:spacing w:line="360" w:lineRule="auto"/>
        <w:ind w:firstLine="360" w:firstLineChars="150"/>
        <w:jc w:val="left"/>
        <w:rPr>
          <w:rFonts w:ascii="宋体" w:hAnsi="宋体"/>
          <w:sz w:val="24"/>
        </w:rPr>
      </w:pPr>
      <w:r>
        <w:rPr>
          <w:rFonts w:ascii="宋体" w:hAnsi="宋体"/>
          <w:sz w:val="24"/>
        </w:rPr>
        <w:t xml:space="preserve">项目名称：_______________    </w:t>
      </w:r>
      <w:r>
        <w:rPr>
          <w:rFonts w:hint="eastAsia" w:ascii="宋体" w:hAnsi="宋体"/>
          <w:sz w:val="24"/>
        </w:rPr>
        <w:t xml:space="preserve">    </w:t>
      </w:r>
      <w:r>
        <w:rPr>
          <w:rFonts w:ascii="宋体" w:hAnsi="宋体"/>
          <w:sz w:val="24"/>
        </w:rPr>
        <w:t xml:space="preserve"> 项目编号：_______________</w:t>
      </w:r>
    </w:p>
    <w:tbl>
      <w:tblPr>
        <w:tblStyle w:val="6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69F5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51" w:type="dxa"/>
            <w:gridSpan w:val="6"/>
            <w:vAlign w:val="center"/>
          </w:tcPr>
          <w:p w14:paraId="0E7129D8">
            <w:pPr>
              <w:adjustRightInd w:val="0"/>
              <w:snapToGrid w:val="0"/>
              <w:spacing w:line="360" w:lineRule="auto"/>
              <w:rPr>
                <w:rFonts w:ascii="宋体" w:hAnsi="宋体"/>
                <w:b/>
                <w:sz w:val="24"/>
              </w:rPr>
            </w:pPr>
            <w:r>
              <w:rPr>
                <w:rFonts w:ascii="宋体" w:hAnsi="宋体"/>
                <w:b/>
                <w:sz w:val="24"/>
              </w:rPr>
              <w:t>对本</w:t>
            </w:r>
            <w:r>
              <w:rPr>
                <w:rFonts w:hint="eastAsia" w:ascii="宋体" w:hAnsi="宋体"/>
                <w:b/>
                <w:sz w:val="24"/>
              </w:rPr>
              <w:t>项目采购需求</w:t>
            </w:r>
            <w:r>
              <w:rPr>
                <w:rFonts w:ascii="宋体" w:hAnsi="宋体"/>
                <w:b/>
                <w:sz w:val="24"/>
              </w:rPr>
              <w:t>的偏离情况（请进行勾选）：</w:t>
            </w:r>
          </w:p>
          <w:p w14:paraId="265EF00E">
            <w:pPr>
              <w:adjustRightInd w:val="0"/>
              <w:snapToGrid w:val="0"/>
              <w:spacing w:line="360" w:lineRule="auto"/>
              <w:rPr>
                <w:rFonts w:ascii="宋体" w:hAnsi="宋体"/>
                <w:b/>
                <w:sz w:val="24"/>
              </w:rPr>
            </w:pPr>
            <w:r>
              <w:rPr>
                <w:rFonts w:hint="eastAsia" w:ascii="宋体" w:hAnsi="宋体"/>
                <w:b/>
                <w:sz w:val="24"/>
              </w:rPr>
              <w:t>□</w:t>
            </w:r>
            <w:r>
              <w:rPr>
                <w:rFonts w:ascii="宋体" w:hAnsi="宋体"/>
                <w:b/>
                <w:sz w:val="24"/>
              </w:rPr>
              <w:t>无偏离</w:t>
            </w:r>
            <w:r>
              <w:rPr>
                <w:rFonts w:ascii="宋体" w:hAnsi="宋体"/>
                <w:sz w:val="24"/>
              </w:rPr>
              <w:t>（如无偏离，仅勾选无偏离即可）</w:t>
            </w:r>
          </w:p>
          <w:p w14:paraId="232BFF7C">
            <w:pPr>
              <w:adjustRightInd w:val="0"/>
              <w:snapToGrid w:val="0"/>
              <w:jc w:val="left"/>
              <w:rPr>
                <w:rFonts w:ascii="宋体" w:hAnsi="宋体"/>
                <w:sz w:val="24"/>
              </w:rPr>
            </w:pPr>
            <w:r>
              <w:rPr>
                <w:rFonts w:hint="eastAsia" w:ascii="宋体" w:hAnsi="宋体"/>
                <w:b/>
                <w:sz w:val="24"/>
              </w:rPr>
              <w:t>□</w:t>
            </w:r>
            <w:r>
              <w:rPr>
                <w:rFonts w:ascii="宋体" w:hAnsi="宋体"/>
                <w:b/>
                <w:sz w:val="24"/>
              </w:rPr>
              <w:t>有偏离</w:t>
            </w:r>
            <w:r>
              <w:rPr>
                <w:rFonts w:ascii="宋体" w:hAnsi="宋体"/>
                <w:sz w:val="24"/>
              </w:rPr>
              <w:t>（如有偏离，则</w:t>
            </w:r>
            <w:r>
              <w:rPr>
                <w:rFonts w:hint="eastAsia" w:ascii="宋体" w:hAnsi="宋体"/>
                <w:sz w:val="24"/>
              </w:rPr>
              <w:t>应</w:t>
            </w:r>
            <w:r>
              <w:rPr>
                <w:rFonts w:ascii="宋体" w:hAnsi="宋体"/>
                <w:sz w:val="24"/>
              </w:rPr>
              <w:t>在本表中对偏离项逐一列明）</w:t>
            </w:r>
          </w:p>
        </w:tc>
      </w:tr>
      <w:tr w14:paraId="7BE9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8FE4BAB">
            <w:pPr>
              <w:adjustRightInd w:val="0"/>
              <w:snapToGrid w:val="0"/>
              <w:jc w:val="center"/>
              <w:rPr>
                <w:rFonts w:ascii="宋体" w:hAnsi="宋体"/>
                <w:sz w:val="24"/>
              </w:rPr>
            </w:pPr>
            <w:r>
              <w:rPr>
                <w:rFonts w:ascii="宋体" w:hAnsi="宋体"/>
                <w:sz w:val="24"/>
              </w:rPr>
              <w:t>序号</w:t>
            </w:r>
          </w:p>
        </w:tc>
        <w:tc>
          <w:tcPr>
            <w:tcW w:w="1482" w:type="dxa"/>
            <w:vAlign w:val="center"/>
          </w:tcPr>
          <w:p w14:paraId="4EA9E252">
            <w:pPr>
              <w:adjustRightInd w:val="0"/>
              <w:snapToGrid w:val="0"/>
              <w:jc w:val="center"/>
              <w:rPr>
                <w:rFonts w:ascii="宋体" w:hAnsi="宋体"/>
                <w:sz w:val="24"/>
              </w:rPr>
            </w:pPr>
            <w:r>
              <w:rPr>
                <w:rFonts w:ascii="宋体" w:hAnsi="宋体"/>
                <w:sz w:val="24"/>
              </w:rPr>
              <w:t>竞争性磋商文件条目号(页码)</w:t>
            </w:r>
          </w:p>
        </w:tc>
        <w:tc>
          <w:tcPr>
            <w:tcW w:w="2384" w:type="dxa"/>
            <w:vAlign w:val="center"/>
          </w:tcPr>
          <w:p w14:paraId="665C3FB9">
            <w:pPr>
              <w:adjustRightInd w:val="0"/>
              <w:snapToGrid w:val="0"/>
              <w:jc w:val="center"/>
              <w:rPr>
                <w:rFonts w:ascii="宋体" w:hAnsi="宋体"/>
                <w:sz w:val="24"/>
              </w:rPr>
            </w:pPr>
            <w:r>
              <w:rPr>
                <w:rFonts w:ascii="宋体" w:hAnsi="宋体"/>
                <w:sz w:val="24"/>
              </w:rPr>
              <w:t>竞争性磋商文件要求</w:t>
            </w:r>
          </w:p>
        </w:tc>
        <w:tc>
          <w:tcPr>
            <w:tcW w:w="2126" w:type="dxa"/>
            <w:vAlign w:val="center"/>
          </w:tcPr>
          <w:p w14:paraId="7C059789">
            <w:pPr>
              <w:adjustRightInd w:val="0"/>
              <w:snapToGrid w:val="0"/>
              <w:jc w:val="center"/>
              <w:rPr>
                <w:rFonts w:ascii="宋体" w:hAnsi="宋体"/>
                <w:sz w:val="24"/>
              </w:rPr>
            </w:pPr>
            <w:r>
              <w:rPr>
                <w:rFonts w:ascii="宋体" w:hAnsi="宋体"/>
                <w:sz w:val="24"/>
              </w:rPr>
              <w:t>响应内容</w:t>
            </w:r>
          </w:p>
        </w:tc>
        <w:tc>
          <w:tcPr>
            <w:tcW w:w="1875" w:type="dxa"/>
            <w:vAlign w:val="center"/>
          </w:tcPr>
          <w:p w14:paraId="7D936238">
            <w:pPr>
              <w:adjustRightInd w:val="0"/>
              <w:snapToGrid w:val="0"/>
              <w:jc w:val="center"/>
              <w:rPr>
                <w:rFonts w:ascii="宋体" w:hAnsi="宋体"/>
                <w:sz w:val="24"/>
              </w:rPr>
            </w:pPr>
            <w:r>
              <w:rPr>
                <w:rFonts w:ascii="宋体" w:hAnsi="宋体"/>
                <w:sz w:val="24"/>
              </w:rPr>
              <w:t>偏离情况</w:t>
            </w:r>
          </w:p>
          <w:p w14:paraId="1A2BFD80">
            <w:pPr>
              <w:adjustRightInd w:val="0"/>
              <w:snapToGrid w:val="0"/>
              <w:jc w:val="center"/>
              <w:rPr>
                <w:rFonts w:ascii="宋体" w:hAnsi="宋体"/>
                <w:sz w:val="24"/>
              </w:rPr>
            </w:pPr>
            <w:r>
              <w:rPr>
                <w:rFonts w:ascii="宋体" w:hAnsi="宋体"/>
                <w:sz w:val="24"/>
                <w:szCs w:val="21"/>
              </w:rPr>
              <w:t>（据实填写）</w:t>
            </w:r>
          </w:p>
        </w:tc>
        <w:tc>
          <w:tcPr>
            <w:tcW w:w="1009" w:type="dxa"/>
            <w:vAlign w:val="center"/>
          </w:tcPr>
          <w:p w14:paraId="24A8D46B">
            <w:pPr>
              <w:adjustRightInd w:val="0"/>
              <w:snapToGrid w:val="0"/>
              <w:jc w:val="center"/>
              <w:rPr>
                <w:rFonts w:ascii="宋体" w:hAnsi="宋体"/>
                <w:sz w:val="24"/>
              </w:rPr>
            </w:pPr>
            <w:r>
              <w:rPr>
                <w:rFonts w:ascii="宋体" w:hAnsi="宋体"/>
                <w:sz w:val="24"/>
              </w:rPr>
              <w:t>说明</w:t>
            </w:r>
          </w:p>
        </w:tc>
      </w:tr>
      <w:tr w14:paraId="047E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5649B63">
            <w:pPr>
              <w:adjustRightInd w:val="0"/>
              <w:snapToGrid w:val="0"/>
              <w:jc w:val="center"/>
              <w:rPr>
                <w:rFonts w:ascii="宋体" w:hAnsi="宋体"/>
                <w:sz w:val="24"/>
              </w:rPr>
            </w:pPr>
          </w:p>
        </w:tc>
        <w:tc>
          <w:tcPr>
            <w:tcW w:w="1482" w:type="dxa"/>
            <w:vAlign w:val="center"/>
          </w:tcPr>
          <w:p w14:paraId="0FA9FC1C">
            <w:pPr>
              <w:adjustRightInd w:val="0"/>
              <w:snapToGrid w:val="0"/>
              <w:jc w:val="center"/>
              <w:rPr>
                <w:rFonts w:ascii="宋体" w:hAnsi="宋体"/>
                <w:sz w:val="24"/>
              </w:rPr>
            </w:pPr>
          </w:p>
        </w:tc>
        <w:tc>
          <w:tcPr>
            <w:tcW w:w="2384" w:type="dxa"/>
            <w:vAlign w:val="center"/>
          </w:tcPr>
          <w:p w14:paraId="07397B2B">
            <w:pPr>
              <w:adjustRightInd w:val="0"/>
              <w:snapToGrid w:val="0"/>
              <w:jc w:val="center"/>
              <w:rPr>
                <w:rFonts w:ascii="宋体" w:hAnsi="宋体"/>
                <w:sz w:val="24"/>
              </w:rPr>
            </w:pPr>
          </w:p>
        </w:tc>
        <w:tc>
          <w:tcPr>
            <w:tcW w:w="2126" w:type="dxa"/>
            <w:vAlign w:val="center"/>
          </w:tcPr>
          <w:p w14:paraId="4336CE8D">
            <w:pPr>
              <w:adjustRightInd w:val="0"/>
              <w:snapToGrid w:val="0"/>
              <w:jc w:val="center"/>
              <w:rPr>
                <w:rFonts w:ascii="宋体" w:hAnsi="宋体"/>
                <w:sz w:val="24"/>
              </w:rPr>
            </w:pPr>
          </w:p>
        </w:tc>
        <w:tc>
          <w:tcPr>
            <w:tcW w:w="1875" w:type="dxa"/>
            <w:vAlign w:val="center"/>
          </w:tcPr>
          <w:p w14:paraId="289EDE53">
            <w:pPr>
              <w:adjustRightInd w:val="0"/>
              <w:snapToGrid w:val="0"/>
              <w:jc w:val="center"/>
              <w:rPr>
                <w:rFonts w:ascii="宋体" w:hAnsi="宋体"/>
                <w:sz w:val="24"/>
              </w:rPr>
            </w:pPr>
          </w:p>
        </w:tc>
        <w:tc>
          <w:tcPr>
            <w:tcW w:w="1009" w:type="dxa"/>
            <w:vAlign w:val="center"/>
          </w:tcPr>
          <w:p w14:paraId="71C3ED97">
            <w:pPr>
              <w:adjustRightInd w:val="0"/>
              <w:snapToGrid w:val="0"/>
              <w:jc w:val="center"/>
              <w:rPr>
                <w:rFonts w:ascii="宋体" w:hAnsi="宋体"/>
                <w:sz w:val="24"/>
              </w:rPr>
            </w:pPr>
          </w:p>
        </w:tc>
      </w:tr>
      <w:tr w14:paraId="6BEA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C8F44F5">
            <w:pPr>
              <w:adjustRightInd w:val="0"/>
              <w:snapToGrid w:val="0"/>
              <w:jc w:val="center"/>
              <w:rPr>
                <w:rFonts w:ascii="宋体" w:hAnsi="宋体"/>
                <w:sz w:val="24"/>
              </w:rPr>
            </w:pPr>
          </w:p>
        </w:tc>
        <w:tc>
          <w:tcPr>
            <w:tcW w:w="1482" w:type="dxa"/>
            <w:vAlign w:val="center"/>
          </w:tcPr>
          <w:p w14:paraId="6F5514D0">
            <w:pPr>
              <w:adjustRightInd w:val="0"/>
              <w:snapToGrid w:val="0"/>
              <w:jc w:val="center"/>
              <w:rPr>
                <w:rFonts w:ascii="宋体" w:hAnsi="宋体"/>
                <w:sz w:val="24"/>
              </w:rPr>
            </w:pPr>
          </w:p>
        </w:tc>
        <w:tc>
          <w:tcPr>
            <w:tcW w:w="2384" w:type="dxa"/>
            <w:vAlign w:val="center"/>
          </w:tcPr>
          <w:p w14:paraId="2E0C570A">
            <w:pPr>
              <w:adjustRightInd w:val="0"/>
              <w:snapToGrid w:val="0"/>
              <w:jc w:val="center"/>
              <w:rPr>
                <w:rFonts w:ascii="宋体" w:hAnsi="宋体"/>
                <w:sz w:val="24"/>
              </w:rPr>
            </w:pPr>
          </w:p>
        </w:tc>
        <w:tc>
          <w:tcPr>
            <w:tcW w:w="2126" w:type="dxa"/>
            <w:vAlign w:val="center"/>
          </w:tcPr>
          <w:p w14:paraId="2A73EEA1">
            <w:pPr>
              <w:adjustRightInd w:val="0"/>
              <w:snapToGrid w:val="0"/>
              <w:jc w:val="center"/>
              <w:rPr>
                <w:rFonts w:ascii="宋体" w:hAnsi="宋体"/>
                <w:sz w:val="24"/>
              </w:rPr>
            </w:pPr>
          </w:p>
        </w:tc>
        <w:tc>
          <w:tcPr>
            <w:tcW w:w="1875" w:type="dxa"/>
            <w:vAlign w:val="center"/>
          </w:tcPr>
          <w:p w14:paraId="3C9661B8">
            <w:pPr>
              <w:adjustRightInd w:val="0"/>
              <w:snapToGrid w:val="0"/>
              <w:jc w:val="center"/>
              <w:rPr>
                <w:rFonts w:ascii="宋体" w:hAnsi="宋体"/>
                <w:sz w:val="24"/>
              </w:rPr>
            </w:pPr>
          </w:p>
        </w:tc>
        <w:tc>
          <w:tcPr>
            <w:tcW w:w="1009" w:type="dxa"/>
            <w:vAlign w:val="center"/>
          </w:tcPr>
          <w:p w14:paraId="702F9167">
            <w:pPr>
              <w:adjustRightInd w:val="0"/>
              <w:snapToGrid w:val="0"/>
              <w:jc w:val="center"/>
              <w:rPr>
                <w:rFonts w:ascii="宋体" w:hAnsi="宋体"/>
                <w:sz w:val="24"/>
              </w:rPr>
            </w:pPr>
          </w:p>
        </w:tc>
      </w:tr>
      <w:tr w14:paraId="4B04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EF9F5DB">
            <w:pPr>
              <w:adjustRightInd w:val="0"/>
              <w:snapToGrid w:val="0"/>
              <w:jc w:val="center"/>
              <w:rPr>
                <w:rFonts w:ascii="宋体" w:hAnsi="宋体"/>
                <w:sz w:val="24"/>
              </w:rPr>
            </w:pPr>
          </w:p>
        </w:tc>
        <w:tc>
          <w:tcPr>
            <w:tcW w:w="1482" w:type="dxa"/>
            <w:vAlign w:val="center"/>
          </w:tcPr>
          <w:p w14:paraId="26598224">
            <w:pPr>
              <w:adjustRightInd w:val="0"/>
              <w:snapToGrid w:val="0"/>
              <w:jc w:val="center"/>
              <w:rPr>
                <w:rFonts w:ascii="宋体" w:hAnsi="宋体"/>
                <w:sz w:val="24"/>
              </w:rPr>
            </w:pPr>
          </w:p>
        </w:tc>
        <w:tc>
          <w:tcPr>
            <w:tcW w:w="2384" w:type="dxa"/>
            <w:vAlign w:val="center"/>
          </w:tcPr>
          <w:p w14:paraId="52E25FAA">
            <w:pPr>
              <w:adjustRightInd w:val="0"/>
              <w:snapToGrid w:val="0"/>
              <w:jc w:val="center"/>
              <w:rPr>
                <w:rFonts w:ascii="宋体" w:hAnsi="宋体"/>
                <w:sz w:val="24"/>
              </w:rPr>
            </w:pPr>
          </w:p>
        </w:tc>
        <w:tc>
          <w:tcPr>
            <w:tcW w:w="2126" w:type="dxa"/>
            <w:vAlign w:val="center"/>
          </w:tcPr>
          <w:p w14:paraId="517CECA0">
            <w:pPr>
              <w:adjustRightInd w:val="0"/>
              <w:snapToGrid w:val="0"/>
              <w:jc w:val="center"/>
              <w:rPr>
                <w:rFonts w:ascii="宋体" w:hAnsi="宋体"/>
                <w:sz w:val="24"/>
              </w:rPr>
            </w:pPr>
          </w:p>
        </w:tc>
        <w:tc>
          <w:tcPr>
            <w:tcW w:w="1875" w:type="dxa"/>
            <w:vAlign w:val="center"/>
          </w:tcPr>
          <w:p w14:paraId="408E973B">
            <w:pPr>
              <w:adjustRightInd w:val="0"/>
              <w:snapToGrid w:val="0"/>
              <w:jc w:val="center"/>
              <w:rPr>
                <w:rFonts w:ascii="宋体" w:hAnsi="宋体"/>
                <w:sz w:val="24"/>
              </w:rPr>
            </w:pPr>
          </w:p>
        </w:tc>
        <w:tc>
          <w:tcPr>
            <w:tcW w:w="1009" w:type="dxa"/>
            <w:vAlign w:val="center"/>
          </w:tcPr>
          <w:p w14:paraId="394C9BDC">
            <w:pPr>
              <w:adjustRightInd w:val="0"/>
              <w:snapToGrid w:val="0"/>
              <w:jc w:val="center"/>
              <w:rPr>
                <w:rFonts w:ascii="宋体" w:hAnsi="宋体"/>
                <w:sz w:val="24"/>
              </w:rPr>
            </w:pPr>
          </w:p>
        </w:tc>
      </w:tr>
      <w:tr w14:paraId="175A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EE6717">
            <w:pPr>
              <w:adjustRightInd w:val="0"/>
              <w:snapToGrid w:val="0"/>
              <w:jc w:val="center"/>
              <w:rPr>
                <w:rFonts w:ascii="宋体" w:hAnsi="宋体"/>
                <w:sz w:val="24"/>
              </w:rPr>
            </w:pPr>
          </w:p>
        </w:tc>
        <w:tc>
          <w:tcPr>
            <w:tcW w:w="1482" w:type="dxa"/>
            <w:vAlign w:val="center"/>
          </w:tcPr>
          <w:p w14:paraId="55F5D324">
            <w:pPr>
              <w:adjustRightInd w:val="0"/>
              <w:snapToGrid w:val="0"/>
              <w:jc w:val="center"/>
              <w:rPr>
                <w:rFonts w:ascii="宋体" w:hAnsi="宋体"/>
                <w:sz w:val="24"/>
              </w:rPr>
            </w:pPr>
          </w:p>
        </w:tc>
        <w:tc>
          <w:tcPr>
            <w:tcW w:w="2384" w:type="dxa"/>
            <w:vAlign w:val="center"/>
          </w:tcPr>
          <w:p w14:paraId="52B1FA99">
            <w:pPr>
              <w:adjustRightInd w:val="0"/>
              <w:snapToGrid w:val="0"/>
              <w:jc w:val="center"/>
              <w:rPr>
                <w:rFonts w:ascii="宋体" w:hAnsi="宋体"/>
                <w:sz w:val="24"/>
              </w:rPr>
            </w:pPr>
          </w:p>
        </w:tc>
        <w:tc>
          <w:tcPr>
            <w:tcW w:w="2126" w:type="dxa"/>
            <w:vAlign w:val="center"/>
          </w:tcPr>
          <w:p w14:paraId="10E7965A">
            <w:pPr>
              <w:adjustRightInd w:val="0"/>
              <w:snapToGrid w:val="0"/>
              <w:jc w:val="center"/>
              <w:rPr>
                <w:rFonts w:ascii="宋体" w:hAnsi="宋体"/>
                <w:sz w:val="24"/>
              </w:rPr>
            </w:pPr>
          </w:p>
        </w:tc>
        <w:tc>
          <w:tcPr>
            <w:tcW w:w="1875" w:type="dxa"/>
            <w:vAlign w:val="center"/>
          </w:tcPr>
          <w:p w14:paraId="1F7FBB36">
            <w:pPr>
              <w:adjustRightInd w:val="0"/>
              <w:snapToGrid w:val="0"/>
              <w:jc w:val="center"/>
              <w:rPr>
                <w:rFonts w:ascii="宋体" w:hAnsi="宋体"/>
                <w:sz w:val="24"/>
              </w:rPr>
            </w:pPr>
          </w:p>
        </w:tc>
        <w:tc>
          <w:tcPr>
            <w:tcW w:w="1009" w:type="dxa"/>
            <w:vAlign w:val="center"/>
          </w:tcPr>
          <w:p w14:paraId="023DC928">
            <w:pPr>
              <w:adjustRightInd w:val="0"/>
              <w:snapToGrid w:val="0"/>
              <w:jc w:val="center"/>
              <w:rPr>
                <w:rFonts w:ascii="宋体" w:hAnsi="宋体"/>
                <w:sz w:val="24"/>
              </w:rPr>
            </w:pPr>
          </w:p>
        </w:tc>
      </w:tr>
      <w:tr w14:paraId="79CE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FE085BF">
            <w:pPr>
              <w:adjustRightInd w:val="0"/>
              <w:snapToGrid w:val="0"/>
              <w:jc w:val="center"/>
              <w:rPr>
                <w:rFonts w:ascii="宋体" w:hAnsi="宋体"/>
                <w:sz w:val="24"/>
              </w:rPr>
            </w:pPr>
          </w:p>
        </w:tc>
        <w:tc>
          <w:tcPr>
            <w:tcW w:w="1482" w:type="dxa"/>
            <w:vAlign w:val="center"/>
          </w:tcPr>
          <w:p w14:paraId="3377ADD4">
            <w:pPr>
              <w:adjustRightInd w:val="0"/>
              <w:snapToGrid w:val="0"/>
              <w:jc w:val="center"/>
              <w:rPr>
                <w:rFonts w:ascii="宋体" w:hAnsi="宋体"/>
                <w:sz w:val="24"/>
              </w:rPr>
            </w:pPr>
          </w:p>
        </w:tc>
        <w:tc>
          <w:tcPr>
            <w:tcW w:w="2384" w:type="dxa"/>
            <w:vAlign w:val="center"/>
          </w:tcPr>
          <w:p w14:paraId="115475C3">
            <w:pPr>
              <w:adjustRightInd w:val="0"/>
              <w:snapToGrid w:val="0"/>
              <w:jc w:val="center"/>
              <w:rPr>
                <w:rFonts w:ascii="宋体" w:hAnsi="宋体"/>
                <w:sz w:val="24"/>
              </w:rPr>
            </w:pPr>
          </w:p>
        </w:tc>
        <w:tc>
          <w:tcPr>
            <w:tcW w:w="2126" w:type="dxa"/>
            <w:vAlign w:val="center"/>
          </w:tcPr>
          <w:p w14:paraId="703661D9">
            <w:pPr>
              <w:adjustRightInd w:val="0"/>
              <w:snapToGrid w:val="0"/>
              <w:jc w:val="center"/>
              <w:rPr>
                <w:rFonts w:ascii="宋体" w:hAnsi="宋体"/>
                <w:sz w:val="24"/>
              </w:rPr>
            </w:pPr>
          </w:p>
        </w:tc>
        <w:tc>
          <w:tcPr>
            <w:tcW w:w="1875" w:type="dxa"/>
            <w:vAlign w:val="center"/>
          </w:tcPr>
          <w:p w14:paraId="7154C1E2">
            <w:pPr>
              <w:adjustRightInd w:val="0"/>
              <w:snapToGrid w:val="0"/>
              <w:jc w:val="center"/>
              <w:rPr>
                <w:rFonts w:ascii="宋体" w:hAnsi="宋体"/>
                <w:sz w:val="24"/>
              </w:rPr>
            </w:pPr>
          </w:p>
        </w:tc>
        <w:tc>
          <w:tcPr>
            <w:tcW w:w="1009" w:type="dxa"/>
            <w:vAlign w:val="center"/>
          </w:tcPr>
          <w:p w14:paraId="5B9EE546">
            <w:pPr>
              <w:adjustRightInd w:val="0"/>
              <w:snapToGrid w:val="0"/>
              <w:jc w:val="center"/>
              <w:rPr>
                <w:rFonts w:ascii="宋体" w:hAnsi="宋体"/>
                <w:sz w:val="24"/>
              </w:rPr>
            </w:pPr>
          </w:p>
        </w:tc>
      </w:tr>
      <w:tr w14:paraId="518E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587B723">
            <w:pPr>
              <w:adjustRightInd w:val="0"/>
              <w:snapToGrid w:val="0"/>
              <w:jc w:val="center"/>
              <w:rPr>
                <w:rFonts w:ascii="宋体" w:hAnsi="宋体"/>
                <w:sz w:val="24"/>
              </w:rPr>
            </w:pPr>
          </w:p>
        </w:tc>
        <w:tc>
          <w:tcPr>
            <w:tcW w:w="1482" w:type="dxa"/>
            <w:vAlign w:val="center"/>
          </w:tcPr>
          <w:p w14:paraId="42896267">
            <w:pPr>
              <w:adjustRightInd w:val="0"/>
              <w:snapToGrid w:val="0"/>
              <w:jc w:val="center"/>
              <w:rPr>
                <w:rFonts w:ascii="宋体" w:hAnsi="宋体"/>
                <w:sz w:val="24"/>
              </w:rPr>
            </w:pPr>
          </w:p>
        </w:tc>
        <w:tc>
          <w:tcPr>
            <w:tcW w:w="2384" w:type="dxa"/>
            <w:vAlign w:val="center"/>
          </w:tcPr>
          <w:p w14:paraId="2B90D519">
            <w:pPr>
              <w:adjustRightInd w:val="0"/>
              <w:snapToGrid w:val="0"/>
              <w:jc w:val="center"/>
              <w:rPr>
                <w:rFonts w:ascii="宋体" w:hAnsi="宋体"/>
                <w:sz w:val="24"/>
              </w:rPr>
            </w:pPr>
          </w:p>
        </w:tc>
        <w:tc>
          <w:tcPr>
            <w:tcW w:w="2126" w:type="dxa"/>
            <w:vAlign w:val="center"/>
          </w:tcPr>
          <w:p w14:paraId="6E4BE517">
            <w:pPr>
              <w:adjustRightInd w:val="0"/>
              <w:snapToGrid w:val="0"/>
              <w:jc w:val="center"/>
              <w:rPr>
                <w:rFonts w:ascii="宋体" w:hAnsi="宋体"/>
                <w:sz w:val="24"/>
              </w:rPr>
            </w:pPr>
          </w:p>
        </w:tc>
        <w:tc>
          <w:tcPr>
            <w:tcW w:w="1875" w:type="dxa"/>
            <w:vAlign w:val="center"/>
          </w:tcPr>
          <w:p w14:paraId="70A0885B">
            <w:pPr>
              <w:adjustRightInd w:val="0"/>
              <w:snapToGrid w:val="0"/>
              <w:jc w:val="center"/>
              <w:rPr>
                <w:rFonts w:ascii="宋体" w:hAnsi="宋体"/>
                <w:sz w:val="24"/>
              </w:rPr>
            </w:pPr>
          </w:p>
        </w:tc>
        <w:tc>
          <w:tcPr>
            <w:tcW w:w="1009" w:type="dxa"/>
            <w:vAlign w:val="center"/>
          </w:tcPr>
          <w:p w14:paraId="599C0591">
            <w:pPr>
              <w:adjustRightInd w:val="0"/>
              <w:snapToGrid w:val="0"/>
              <w:jc w:val="center"/>
              <w:rPr>
                <w:rFonts w:ascii="宋体" w:hAnsi="宋体"/>
                <w:sz w:val="24"/>
              </w:rPr>
            </w:pPr>
          </w:p>
        </w:tc>
      </w:tr>
    </w:tbl>
    <w:p w14:paraId="6EADD58E">
      <w:pPr>
        <w:tabs>
          <w:tab w:val="left" w:pos="1800"/>
          <w:tab w:val="left" w:pos="5580"/>
        </w:tabs>
        <w:jc w:val="left"/>
        <w:rPr>
          <w:rFonts w:ascii="宋体" w:hAnsi="宋体"/>
          <w:sz w:val="24"/>
        </w:rPr>
      </w:pPr>
      <w:r>
        <w:rPr>
          <w:rFonts w:ascii="宋体" w:hAnsi="宋体"/>
          <w:sz w:val="24"/>
        </w:rPr>
        <w:t>注：</w:t>
      </w:r>
    </w:p>
    <w:p w14:paraId="1DE69084">
      <w:pPr>
        <w:tabs>
          <w:tab w:val="left" w:pos="1800"/>
          <w:tab w:val="left" w:pos="5580"/>
        </w:tabs>
        <w:jc w:val="left"/>
        <w:rPr>
          <w:rFonts w:ascii="宋体" w:hAnsi="宋体"/>
          <w:sz w:val="24"/>
        </w:rPr>
      </w:pPr>
      <w:r>
        <w:rPr>
          <w:rFonts w:hint="eastAsia" w:ascii="宋体" w:hAnsi="宋体"/>
          <w:sz w:val="24"/>
        </w:rPr>
        <w:t>1</w:t>
      </w:r>
      <w:r>
        <w:rPr>
          <w:rFonts w:ascii="宋体" w:hAnsi="宋体"/>
          <w:sz w:val="24"/>
        </w:rPr>
        <w:t>. 对竞争性磋商文件中的所有</w:t>
      </w:r>
      <w:r>
        <w:rPr>
          <w:rFonts w:hint="eastAsia" w:ascii="宋体" w:hAnsi="宋体"/>
          <w:sz w:val="24"/>
        </w:rPr>
        <w:t>需求</w:t>
      </w:r>
      <w:r>
        <w:rPr>
          <w:rFonts w:ascii="宋体" w:hAnsi="宋体"/>
          <w:sz w:val="24"/>
        </w:rPr>
        <w:t>、技术要求，除本表所列明的所有偏离外，均视作供应商已对之理解和响应。</w:t>
      </w:r>
    </w:p>
    <w:p w14:paraId="3142C908">
      <w:pPr>
        <w:tabs>
          <w:tab w:val="left" w:pos="1800"/>
          <w:tab w:val="left" w:pos="5580"/>
        </w:tabs>
        <w:jc w:val="left"/>
        <w:rPr>
          <w:rFonts w:ascii="宋体" w:hAnsi="宋体"/>
          <w:sz w:val="24"/>
        </w:rPr>
      </w:pPr>
      <w:r>
        <w:rPr>
          <w:rFonts w:ascii="宋体" w:hAnsi="宋体"/>
          <w:sz w:val="24"/>
        </w:rPr>
        <w:t>2.</w:t>
      </w:r>
      <w:r>
        <w:rPr>
          <w:rFonts w:hint="eastAsia" w:ascii="宋体" w:hAnsi="宋体"/>
          <w:sz w:val="24"/>
        </w:rPr>
        <w:t>“偏离情况”列应据实填写“正偏离”或“负偏离”。如没有偏离请在说明处填写“无偏离”。</w:t>
      </w:r>
    </w:p>
    <w:p w14:paraId="6A2710C5">
      <w:pPr>
        <w:tabs>
          <w:tab w:val="left" w:pos="1800"/>
          <w:tab w:val="left" w:pos="5580"/>
        </w:tabs>
        <w:jc w:val="left"/>
        <w:rPr>
          <w:rFonts w:ascii="宋体" w:hAnsi="宋体"/>
          <w:sz w:val="24"/>
        </w:rPr>
      </w:pPr>
    </w:p>
    <w:p w14:paraId="77BB3FBD">
      <w:pPr>
        <w:rPr>
          <w:rFonts w:ascii="宋体" w:hAnsi="宋体"/>
          <w:sz w:val="24"/>
          <w:szCs w:val="20"/>
        </w:rPr>
      </w:pPr>
    </w:p>
    <w:p w14:paraId="65891E42">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585AB9B2">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14:paraId="090D596E">
      <w:pPr>
        <w:pStyle w:val="272"/>
        <w:tabs>
          <w:tab w:val="left" w:pos="360"/>
        </w:tabs>
        <w:snapToGrid w:val="0"/>
        <w:spacing w:line="360" w:lineRule="auto"/>
        <w:ind w:left="440" w:firstLine="0" w:firstLineChars="0"/>
        <w:outlineLvl w:val="1"/>
        <w:rPr>
          <w:rFonts w:ascii="宋体" w:hAnsi="宋体"/>
          <w:sz w:val="24"/>
        </w:rPr>
      </w:pPr>
    </w:p>
    <w:p w14:paraId="0A62ACC0">
      <w:pPr>
        <w:pStyle w:val="272"/>
        <w:tabs>
          <w:tab w:val="left" w:pos="360"/>
        </w:tabs>
        <w:snapToGrid w:val="0"/>
        <w:spacing w:line="360" w:lineRule="auto"/>
        <w:ind w:left="440" w:firstLine="0" w:firstLineChars="0"/>
        <w:outlineLvl w:val="1"/>
        <w:rPr>
          <w:rFonts w:ascii="宋体" w:hAnsi="宋体"/>
          <w:sz w:val="24"/>
        </w:rPr>
      </w:pPr>
    </w:p>
    <w:p w14:paraId="602C7526">
      <w:pPr>
        <w:pStyle w:val="272"/>
        <w:numPr>
          <w:ilvl w:val="0"/>
          <w:numId w:val="24"/>
        </w:numPr>
        <w:tabs>
          <w:tab w:val="left" w:pos="360"/>
        </w:tabs>
        <w:snapToGrid w:val="0"/>
        <w:spacing w:line="360" w:lineRule="auto"/>
        <w:ind w:firstLineChars="0"/>
        <w:outlineLvl w:val="1"/>
        <w:rPr>
          <w:rFonts w:ascii="宋体" w:hAnsi="宋体"/>
          <w:sz w:val="24"/>
        </w:rPr>
      </w:pPr>
      <w:r>
        <w:rPr>
          <w:rFonts w:ascii="宋体" w:hAnsi="宋体"/>
          <w:sz w:val="24"/>
        </w:rPr>
        <w:t>拟投入项目管理</w:t>
      </w:r>
      <w:r>
        <w:rPr>
          <w:rFonts w:hint="eastAsia" w:ascii="宋体" w:hAnsi="宋体"/>
          <w:sz w:val="24"/>
        </w:rPr>
        <w:t>人员</w:t>
      </w:r>
      <w:r>
        <w:rPr>
          <w:rFonts w:ascii="宋体" w:hAnsi="宋体"/>
          <w:sz w:val="24"/>
        </w:rPr>
        <w:t>配备汇总表</w:t>
      </w:r>
    </w:p>
    <w:tbl>
      <w:tblPr>
        <w:tblStyle w:val="67"/>
        <w:tblW w:w="89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082"/>
        <w:gridCol w:w="794"/>
        <w:gridCol w:w="2149"/>
        <w:gridCol w:w="2268"/>
      </w:tblGrid>
      <w:tr w14:paraId="2AB170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vAlign w:val="center"/>
          </w:tcPr>
          <w:p w14:paraId="249728BE">
            <w:pPr>
              <w:spacing w:line="360" w:lineRule="auto"/>
              <w:jc w:val="left"/>
              <w:rPr>
                <w:rFonts w:ascii="宋体" w:hAnsi="宋体"/>
                <w:sz w:val="24"/>
              </w:rPr>
            </w:pPr>
            <w:r>
              <w:rPr>
                <w:rFonts w:hint="eastAsia" w:ascii="宋体" w:hAnsi="宋体" w:cs="宋体"/>
                <w:sz w:val="24"/>
              </w:rPr>
              <w:t xml:space="preserve"> </w:t>
            </w:r>
            <w:r>
              <w:rPr>
                <w:rFonts w:ascii="宋体" w:hAnsi="宋体"/>
                <w:sz w:val="24"/>
              </w:rPr>
              <w:t>姓名</w:t>
            </w:r>
          </w:p>
        </w:tc>
        <w:tc>
          <w:tcPr>
            <w:tcW w:w="900" w:type="dxa"/>
            <w:vAlign w:val="center"/>
          </w:tcPr>
          <w:p w14:paraId="5602D71D">
            <w:pPr>
              <w:adjustRightInd w:val="0"/>
              <w:snapToGrid w:val="0"/>
              <w:spacing w:line="360" w:lineRule="auto"/>
              <w:jc w:val="left"/>
              <w:rPr>
                <w:rFonts w:ascii="宋体" w:hAnsi="宋体"/>
                <w:sz w:val="24"/>
              </w:rPr>
            </w:pPr>
            <w:r>
              <w:rPr>
                <w:rFonts w:ascii="宋体" w:hAnsi="宋体"/>
                <w:sz w:val="24"/>
              </w:rPr>
              <w:t>性别</w:t>
            </w:r>
          </w:p>
        </w:tc>
        <w:tc>
          <w:tcPr>
            <w:tcW w:w="900" w:type="dxa"/>
            <w:vAlign w:val="center"/>
          </w:tcPr>
          <w:p w14:paraId="4603686C">
            <w:pPr>
              <w:adjustRightInd w:val="0"/>
              <w:snapToGrid w:val="0"/>
              <w:spacing w:line="360" w:lineRule="auto"/>
              <w:jc w:val="left"/>
              <w:rPr>
                <w:rFonts w:ascii="宋体" w:hAnsi="宋体"/>
                <w:sz w:val="24"/>
              </w:rPr>
            </w:pPr>
            <w:r>
              <w:rPr>
                <w:rFonts w:ascii="宋体" w:hAnsi="宋体"/>
                <w:sz w:val="24"/>
              </w:rPr>
              <w:t>年龄</w:t>
            </w:r>
          </w:p>
        </w:tc>
        <w:tc>
          <w:tcPr>
            <w:tcW w:w="1082" w:type="dxa"/>
            <w:vAlign w:val="center"/>
          </w:tcPr>
          <w:p w14:paraId="0BC9DEDD">
            <w:pPr>
              <w:adjustRightInd w:val="0"/>
              <w:snapToGrid w:val="0"/>
              <w:spacing w:line="360" w:lineRule="auto"/>
              <w:jc w:val="left"/>
              <w:rPr>
                <w:rFonts w:ascii="宋体" w:hAnsi="宋体"/>
                <w:sz w:val="24"/>
              </w:rPr>
            </w:pPr>
            <w:r>
              <w:rPr>
                <w:rFonts w:ascii="宋体" w:hAnsi="宋体"/>
                <w:sz w:val="24"/>
              </w:rPr>
              <w:t>职称</w:t>
            </w:r>
          </w:p>
        </w:tc>
        <w:tc>
          <w:tcPr>
            <w:tcW w:w="794" w:type="dxa"/>
            <w:vAlign w:val="center"/>
          </w:tcPr>
          <w:p w14:paraId="5A777FC7">
            <w:pPr>
              <w:adjustRightInd w:val="0"/>
              <w:snapToGrid w:val="0"/>
              <w:spacing w:line="360" w:lineRule="auto"/>
              <w:jc w:val="left"/>
              <w:rPr>
                <w:rFonts w:ascii="宋体" w:hAnsi="宋体"/>
                <w:sz w:val="24"/>
              </w:rPr>
            </w:pPr>
            <w:r>
              <w:rPr>
                <w:rFonts w:ascii="宋体" w:hAnsi="宋体"/>
                <w:sz w:val="24"/>
              </w:rPr>
              <w:t>专业</w:t>
            </w:r>
          </w:p>
        </w:tc>
        <w:tc>
          <w:tcPr>
            <w:tcW w:w="2149" w:type="dxa"/>
            <w:vAlign w:val="center"/>
          </w:tcPr>
          <w:p w14:paraId="356DD7AD">
            <w:pPr>
              <w:adjustRightInd w:val="0"/>
              <w:snapToGrid w:val="0"/>
              <w:spacing w:line="360" w:lineRule="auto"/>
              <w:jc w:val="left"/>
              <w:rPr>
                <w:rFonts w:ascii="宋体" w:hAnsi="宋体"/>
                <w:sz w:val="24"/>
              </w:rPr>
            </w:pPr>
            <w:r>
              <w:rPr>
                <w:rFonts w:ascii="宋体" w:hAnsi="宋体"/>
                <w:sz w:val="24"/>
              </w:rPr>
              <w:t>资格证书编号</w:t>
            </w:r>
          </w:p>
        </w:tc>
        <w:tc>
          <w:tcPr>
            <w:tcW w:w="2268" w:type="dxa"/>
            <w:vAlign w:val="center"/>
          </w:tcPr>
          <w:p w14:paraId="51F7CE48">
            <w:pPr>
              <w:adjustRightInd w:val="0"/>
              <w:snapToGrid w:val="0"/>
              <w:spacing w:line="360" w:lineRule="auto"/>
              <w:jc w:val="left"/>
              <w:rPr>
                <w:rFonts w:ascii="宋体" w:hAnsi="宋体"/>
                <w:sz w:val="24"/>
              </w:rPr>
            </w:pPr>
            <w:r>
              <w:rPr>
                <w:rFonts w:ascii="宋体" w:hAnsi="宋体"/>
                <w:sz w:val="24"/>
              </w:rPr>
              <w:t>拟在本工程中担任的工作或岗位</w:t>
            </w:r>
          </w:p>
        </w:tc>
      </w:tr>
      <w:tr w14:paraId="09C42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74268E60">
            <w:pPr>
              <w:adjustRightInd w:val="0"/>
              <w:snapToGrid w:val="0"/>
              <w:spacing w:line="360" w:lineRule="auto"/>
              <w:jc w:val="left"/>
              <w:rPr>
                <w:rFonts w:ascii="宋体" w:hAnsi="宋体"/>
                <w:sz w:val="24"/>
              </w:rPr>
            </w:pPr>
          </w:p>
        </w:tc>
        <w:tc>
          <w:tcPr>
            <w:tcW w:w="900" w:type="dxa"/>
            <w:vAlign w:val="center"/>
          </w:tcPr>
          <w:p w14:paraId="0630FF86">
            <w:pPr>
              <w:adjustRightInd w:val="0"/>
              <w:snapToGrid w:val="0"/>
              <w:spacing w:line="360" w:lineRule="auto"/>
              <w:jc w:val="left"/>
              <w:rPr>
                <w:rFonts w:ascii="宋体" w:hAnsi="宋体"/>
                <w:sz w:val="24"/>
              </w:rPr>
            </w:pPr>
          </w:p>
        </w:tc>
        <w:tc>
          <w:tcPr>
            <w:tcW w:w="900" w:type="dxa"/>
            <w:vAlign w:val="center"/>
          </w:tcPr>
          <w:p w14:paraId="20C77AE5">
            <w:pPr>
              <w:adjustRightInd w:val="0"/>
              <w:snapToGrid w:val="0"/>
              <w:spacing w:line="360" w:lineRule="auto"/>
              <w:jc w:val="left"/>
              <w:rPr>
                <w:rFonts w:ascii="宋体" w:hAnsi="宋体"/>
                <w:sz w:val="24"/>
              </w:rPr>
            </w:pPr>
          </w:p>
        </w:tc>
        <w:tc>
          <w:tcPr>
            <w:tcW w:w="1082" w:type="dxa"/>
            <w:vAlign w:val="center"/>
          </w:tcPr>
          <w:p w14:paraId="1FC2540C">
            <w:pPr>
              <w:adjustRightInd w:val="0"/>
              <w:snapToGrid w:val="0"/>
              <w:spacing w:line="360" w:lineRule="auto"/>
              <w:jc w:val="left"/>
              <w:rPr>
                <w:rFonts w:ascii="宋体" w:hAnsi="宋体"/>
                <w:sz w:val="24"/>
              </w:rPr>
            </w:pPr>
          </w:p>
        </w:tc>
        <w:tc>
          <w:tcPr>
            <w:tcW w:w="794" w:type="dxa"/>
            <w:vAlign w:val="center"/>
          </w:tcPr>
          <w:p w14:paraId="7D1F1451">
            <w:pPr>
              <w:adjustRightInd w:val="0"/>
              <w:snapToGrid w:val="0"/>
              <w:spacing w:line="360" w:lineRule="auto"/>
              <w:jc w:val="left"/>
              <w:rPr>
                <w:rFonts w:ascii="宋体" w:hAnsi="宋体"/>
                <w:sz w:val="24"/>
              </w:rPr>
            </w:pPr>
          </w:p>
        </w:tc>
        <w:tc>
          <w:tcPr>
            <w:tcW w:w="2149" w:type="dxa"/>
            <w:vAlign w:val="center"/>
          </w:tcPr>
          <w:p w14:paraId="2C5B5DF7">
            <w:pPr>
              <w:adjustRightInd w:val="0"/>
              <w:snapToGrid w:val="0"/>
              <w:spacing w:line="360" w:lineRule="auto"/>
              <w:jc w:val="left"/>
              <w:rPr>
                <w:rFonts w:ascii="宋体" w:hAnsi="宋体"/>
                <w:sz w:val="24"/>
              </w:rPr>
            </w:pPr>
          </w:p>
        </w:tc>
        <w:tc>
          <w:tcPr>
            <w:tcW w:w="2268" w:type="dxa"/>
            <w:vAlign w:val="center"/>
          </w:tcPr>
          <w:p w14:paraId="48308DFE">
            <w:pPr>
              <w:adjustRightInd w:val="0"/>
              <w:snapToGrid w:val="0"/>
              <w:spacing w:line="360" w:lineRule="auto"/>
              <w:jc w:val="left"/>
              <w:rPr>
                <w:rFonts w:ascii="宋体" w:hAnsi="宋体"/>
                <w:sz w:val="24"/>
              </w:rPr>
            </w:pPr>
            <w:r>
              <w:rPr>
                <w:rFonts w:hint="eastAsia" w:ascii="宋体" w:hAnsi="宋体"/>
                <w:sz w:val="24"/>
              </w:rPr>
              <w:t>项目经理</w:t>
            </w:r>
          </w:p>
        </w:tc>
      </w:tr>
      <w:tr w14:paraId="6BD04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45B7735E">
            <w:pPr>
              <w:adjustRightInd w:val="0"/>
              <w:snapToGrid w:val="0"/>
              <w:spacing w:line="360" w:lineRule="auto"/>
              <w:jc w:val="left"/>
              <w:rPr>
                <w:rFonts w:ascii="宋体" w:hAnsi="宋体"/>
                <w:sz w:val="24"/>
              </w:rPr>
            </w:pPr>
          </w:p>
        </w:tc>
        <w:tc>
          <w:tcPr>
            <w:tcW w:w="900" w:type="dxa"/>
            <w:vAlign w:val="center"/>
          </w:tcPr>
          <w:p w14:paraId="29D1C9F2">
            <w:pPr>
              <w:adjustRightInd w:val="0"/>
              <w:snapToGrid w:val="0"/>
              <w:spacing w:line="360" w:lineRule="auto"/>
              <w:jc w:val="left"/>
              <w:rPr>
                <w:rFonts w:ascii="宋体" w:hAnsi="宋体"/>
                <w:sz w:val="24"/>
              </w:rPr>
            </w:pPr>
          </w:p>
        </w:tc>
        <w:tc>
          <w:tcPr>
            <w:tcW w:w="900" w:type="dxa"/>
            <w:vAlign w:val="center"/>
          </w:tcPr>
          <w:p w14:paraId="703D18DC">
            <w:pPr>
              <w:adjustRightInd w:val="0"/>
              <w:snapToGrid w:val="0"/>
              <w:spacing w:line="360" w:lineRule="auto"/>
              <w:jc w:val="left"/>
              <w:rPr>
                <w:rFonts w:ascii="宋体" w:hAnsi="宋体"/>
                <w:sz w:val="24"/>
              </w:rPr>
            </w:pPr>
          </w:p>
        </w:tc>
        <w:tc>
          <w:tcPr>
            <w:tcW w:w="1082" w:type="dxa"/>
            <w:vAlign w:val="center"/>
          </w:tcPr>
          <w:p w14:paraId="72EFA8DA">
            <w:pPr>
              <w:adjustRightInd w:val="0"/>
              <w:snapToGrid w:val="0"/>
              <w:spacing w:line="360" w:lineRule="auto"/>
              <w:jc w:val="left"/>
              <w:rPr>
                <w:rFonts w:ascii="宋体" w:hAnsi="宋体"/>
                <w:sz w:val="24"/>
              </w:rPr>
            </w:pPr>
          </w:p>
        </w:tc>
        <w:tc>
          <w:tcPr>
            <w:tcW w:w="794" w:type="dxa"/>
            <w:vAlign w:val="center"/>
          </w:tcPr>
          <w:p w14:paraId="6F2DB9FD">
            <w:pPr>
              <w:adjustRightInd w:val="0"/>
              <w:snapToGrid w:val="0"/>
              <w:spacing w:line="360" w:lineRule="auto"/>
              <w:jc w:val="left"/>
              <w:rPr>
                <w:rFonts w:ascii="宋体" w:hAnsi="宋体"/>
                <w:sz w:val="24"/>
              </w:rPr>
            </w:pPr>
          </w:p>
        </w:tc>
        <w:tc>
          <w:tcPr>
            <w:tcW w:w="2149" w:type="dxa"/>
            <w:vAlign w:val="center"/>
          </w:tcPr>
          <w:p w14:paraId="4845166C">
            <w:pPr>
              <w:adjustRightInd w:val="0"/>
              <w:snapToGrid w:val="0"/>
              <w:spacing w:line="360" w:lineRule="auto"/>
              <w:jc w:val="left"/>
              <w:rPr>
                <w:rFonts w:ascii="宋体" w:hAnsi="宋体"/>
                <w:sz w:val="24"/>
              </w:rPr>
            </w:pPr>
          </w:p>
        </w:tc>
        <w:tc>
          <w:tcPr>
            <w:tcW w:w="2268" w:type="dxa"/>
            <w:vAlign w:val="center"/>
          </w:tcPr>
          <w:p w14:paraId="1D79FC49">
            <w:pPr>
              <w:adjustRightInd w:val="0"/>
              <w:snapToGrid w:val="0"/>
              <w:spacing w:line="360" w:lineRule="auto"/>
              <w:jc w:val="left"/>
              <w:rPr>
                <w:rFonts w:ascii="宋体" w:hAnsi="宋体"/>
                <w:sz w:val="24"/>
              </w:rPr>
            </w:pPr>
            <w:r>
              <w:rPr>
                <w:rFonts w:hint="eastAsia" w:ascii="宋体" w:hAnsi="宋体"/>
                <w:sz w:val="24"/>
              </w:rPr>
              <w:t>技术负责人</w:t>
            </w:r>
          </w:p>
        </w:tc>
      </w:tr>
      <w:tr w14:paraId="2D69CC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306E918A">
            <w:pPr>
              <w:adjustRightInd w:val="0"/>
              <w:snapToGrid w:val="0"/>
              <w:spacing w:line="360" w:lineRule="auto"/>
              <w:jc w:val="left"/>
              <w:rPr>
                <w:rFonts w:ascii="宋体" w:hAnsi="宋体"/>
                <w:sz w:val="24"/>
              </w:rPr>
            </w:pPr>
          </w:p>
        </w:tc>
        <w:tc>
          <w:tcPr>
            <w:tcW w:w="900" w:type="dxa"/>
            <w:vAlign w:val="center"/>
          </w:tcPr>
          <w:p w14:paraId="1CD219DA">
            <w:pPr>
              <w:adjustRightInd w:val="0"/>
              <w:snapToGrid w:val="0"/>
              <w:spacing w:line="360" w:lineRule="auto"/>
              <w:jc w:val="left"/>
              <w:rPr>
                <w:rFonts w:ascii="宋体" w:hAnsi="宋体"/>
                <w:sz w:val="24"/>
              </w:rPr>
            </w:pPr>
          </w:p>
        </w:tc>
        <w:tc>
          <w:tcPr>
            <w:tcW w:w="900" w:type="dxa"/>
            <w:vAlign w:val="center"/>
          </w:tcPr>
          <w:p w14:paraId="433674F2">
            <w:pPr>
              <w:adjustRightInd w:val="0"/>
              <w:snapToGrid w:val="0"/>
              <w:spacing w:line="360" w:lineRule="auto"/>
              <w:jc w:val="left"/>
              <w:rPr>
                <w:rFonts w:ascii="宋体" w:hAnsi="宋体"/>
                <w:sz w:val="24"/>
              </w:rPr>
            </w:pPr>
          </w:p>
        </w:tc>
        <w:tc>
          <w:tcPr>
            <w:tcW w:w="1082" w:type="dxa"/>
            <w:vAlign w:val="center"/>
          </w:tcPr>
          <w:p w14:paraId="1B313CF6">
            <w:pPr>
              <w:adjustRightInd w:val="0"/>
              <w:snapToGrid w:val="0"/>
              <w:spacing w:line="360" w:lineRule="auto"/>
              <w:jc w:val="left"/>
              <w:rPr>
                <w:rFonts w:ascii="宋体" w:hAnsi="宋体"/>
                <w:sz w:val="24"/>
              </w:rPr>
            </w:pPr>
          </w:p>
        </w:tc>
        <w:tc>
          <w:tcPr>
            <w:tcW w:w="794" w:type="dxa"/>
            <w:vAlign w:val="center"/>
          </w:tcPr>
          <w:p w14:paraId="4AFC6310">
            <w:pPr>
              <w:adjustRightInd w:val="0"/>
              <w:snapToGrid w:val="0"/>
              <w:spacing w:line="360" w:lineRule="auto"/>
              <w:jc w:val="left"/>
              <w:rPr>
                <w:rFonts w:ascii="宋体" w:hAnsi="宋体"/>
                <w:sz w:val="24"/>
              </w:rPr>
            </w:pPr>
          </w:p>
        </w:tc>
        <w:tc>
          <w:tcPr>
            <w:tcW w:w="2149" w:type="dxa"/>
            <w:vAlign w:val="center"/>
          </w:tcPr>
          <w:p w14:paraId="4F713168">
            <w:pPr>
              <w:adjustRightInd w:val="0"/>
              <w:snapToGrid w:val="0"/>
              <w:spacing w:line="360" w:lineRule="auto"/>
              <w:jc w:val="left"/>
              <w:rPr>
                <w:rFonts w:ascii="宋体" w:hAnsi="宋体"/>
                <w:sz w:val="24"/>
              </w:rPr>
            </w:pPr>
          </w:p>
        </w:tc>
        <w:tc>
          <w:tcPr>
            <w:tcW w:w="2268" w:type="dxa"/>
            <w:vAlign w:val="center"/>
          </w:tcPr>
          <w:p w14:paraId="44813F65">
            <w:pPr>
              <w:adjustRightInd w:val="0"/>
              <w:snapToGrid w:val="0"/>
              <w:spacing w:line="360" w:lineRule="auto"/>
              <w:jc w:val="left"/>
              <w:rPr>
                <w:rFonts w:ascii="宋体" w:hAnsi="宋体"/>
                <w:sz w:val="24"/>
              </w:rPr>
            </w:pPr>
            <w:r>
              <w:rPr>
                <w:rFonts w:hint="eastAsia" w:ascii="宋体" w:hAnsi="宋体"/>
                <w:sz w:val="24"/>
              </w:rPr>
              <w:t>…………</w:t>
            </w:r>
          </w:p>
        </w:tc>
      </w:tr>
      <w:tr w14:paraId="0510E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4EDCD6AB">
            <w:pPr>
              <w:adjustRightInd w:val="0"/>
              <w:snapToGrid w:val="0"/>
              <w:spacing w:line="360" w:lineRule="auto"/>
              <w:jc w:val="left"/>
              <w:rPr>
                <w:rFonts w:ascii="宋体" w:hAnsi="宋体"/>
                <w:sz w:val="24"/>
              </w:rPr>
            </w:pPr>
          </w:p>
        </w:tc>
        <w:tc>
          <w:tcPr>
            <w:tcW w:w="900" w:type="dxa"/>
            <w:vAlign w:val="center"/>
          </w:tcPr>
          <w:p w14:paraId="09243A36">
            <w:pPr>
              <w:adjustRightInd w:val="0"/>
              <w:snapToGrid w:val="0"/>
              <w:spacing w:line="360" w:lineRule="auto"/>
              <w:jc w:val="left"/>
              <w:rPr>
                <w:rFonts w:ascii="宋体" w:hAnsi="宋体"/>
                <w:sz w:val="24"/>
              </w:rPr>
            </w:pPr>
          </w:p>
        </w:tc>
        <w:tc>
          <w:tcPr>
            <w:tcW w:w="900" w:type="dxa"/>
            <w:vAlign w:val="center"/>
          </w:tcPr>
          <w:p w14:paraId="4DD9E629">
            <w:pPr>
              <w:adjustRightInd w:val="0"/>
              <w:snapToGrid w:val="0"/>
              <w:spacing w:line="360" w:lineRule="auto"/>
              <w:jc w:val="left"/>
              <w:rPr>
                <w:rFonts w:ascii="宋体" w:hAnsi="宋体"/>
                <w:sz w:val="24"/>
              </w:rPr>
            </w:pPr>
          </w:p>
        </w:tc>
        <w:tc>
          <w:tcPr>
            <w:tcW w:w="1082" w:type="dxa"/>
            <w:vAlign w:val="center"/>
          </w:tcPr>
          <w:p w14:paraId="3B5F83BE">
            <w:pPr>
              <w:adjustRightInd w:val="0"/>
              <w:snapToGrid w:val="0"/>
              <w:spacing w:line="360" w:lineRule="auto"/>
              <w:jc w:val="left"/>
              <w:rPr>
                <w:rFonts w:ascii="宋体" w:hAnsi="宋体"/>
                <w:sz w:val="24"/>
              </w:rPr>
            </w:pPr>
          </w:p>
        </w:tc>
        <w:tc>
          <w:tcPr>
            <w:tcW w:w="794" w:type="dxa"/>
            <w:vAlign w:val="center"/>
          </w:tcPr>
          <w:p w14:paraId="5A4DE97D">
            <w:pPr>
              <w:adjustRightInd w:val="0"/>
              <w:snapToGrid w:val="0"/>
              <w:spacing w:line="360" w:lineRule="auto"/>
              <w:jc w:val="left"/>
              <w:rPr>
                <w:rFonts w:ascii="宋体" w:hAnsi="宋体"/>
                <w:sz w:val="24"/>
              </w:rPr>
            </w:pPr>
          </w:p>
        </w:tc>
        <w:tc>
          <w:tcPr>
            <w:tcW w:w="2149" w:type="dxa"/>
            <w:vAlign w:val="center"/>
          </w:tcPr>
          <w:p w14:paraId="7A03359A">
            <w:pPr>
              <w:adjustRightInd w:val="0"/>
              <w:snapToGrid w:val="0"/>
              <w:spacing w:line="360" w:lineRule="auto"/>
              <w:jc w:val="left"/>
              <w:rPr>
                <w:rFonts w:ascii="宋体" w:hAnsi="宋体"/>
                <w:sz w:val="24"/>
              </w:rPr>
            </w:pPr>
          </w:p>
        </w:tc>
        <w:tc>
          <w:tcPr>
            <w:tcW w:w="2268" w:type="dxa"/>
            <w:vAlign w:val="center"/>
          </w:tcPr>
          <w:p w14:paraId="682C42F0">
            <w:pPr>
              <w:adjustRightInd w:val="0"/>
              <w:snapToGrid w:val="0"/>
              <w:spacing w:line="360" w:lineRule="auto"/>
              <w:jc w:val="left"/>
              <w:rPr>
                <w:rFonts w:ascii="宋体" w:hAnsi="宋体"/>
                <w:sz w:val="24"/>
              </w:rPr>
            </w:pPr>
          </w:p>
        </w:tc>
      </w:tr>
      <w:tr w14:paraId="183D6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7403F247">
            <w:pPr>
              <w:adjustRightInd w:val="0"/>
              <w:snapToGrid w:val="0"/>
              <w:spacing w:line="360" w:lineRule="auto"/>
              <w:jc w:val="left"/>
              <w:rPr>
                <w:rFonts w:ascii="宋体" w:hAnsi="宋体"/>
                <w:sz w:val="24"/>
              </w:rPr>
            </w:pPr>
          </w:p>
        </w:tc>
        <w:tc>
          <w:tcPr>
            <w:tcW w:w="900" w:type="dxa"/>
            <w:vAlign w:val="center"/>
          </w:tcPr>
          <w:p w14:paraId="56727412">
            <w:pPr>
              <w:adjustRightInd w:val="0"/>
              <w:snapToGrid w:val="0"/>
              <w:spacing w:line="360" w:lineRule="auto"/>
              <w:jc w:val="left"/>
              <w:rPr>
                <w:rFonts w:ascii="宋体" w:hAnsi="宋体"/>
                <w:sz w:val="24"/>
              </w:rPr>
            </w:pPr>
          </w:p>
        </w:tc>
        <w:tc>
          <w:tcPr>
            <w:tcW w:w="900" w:type="dxa"/>
            <w:vAlign w:val="center"/>
          </w:tcPr>
          <w:p w14:paraId="7FDBAE20">
            <w:pPr>
              <w:adjustRightInd w:val="0"/>
              <w:snapToGrid w:val="0"/>
              <w:spacing w:line="360" w:lineRule="auto"/>
              <w:jc w:val="left"/>
              <w:rPr>
                <w:rFonts w:ascii="宋体" w:hAnsi="宋体"/>
                <w:sz w:val="24"/>
              </w:rPr>
            </w:pPr>
          </w:p>
        </w:tc>
        <w:tc>
          <w:tcPr>
            <w:tcW w:w="1082" w:type="dxa"/>
            <w:vAlign w:val="center"/>
          </w:tcPr>
          <w:p w14:paraId="29B40ECB">
            <w:pPr>
              <w:adjustRightInd w:val="0"/>
              <w:snapToGrid w:val="0"/>
              <w:spacing w:line="360" w:lineRule="auto"/>
              <w:jc w:val="left"/>
              <w:rPr>
                <w:rFonts w:ascii="宋体" w:hAnsi="宋体"/>
                <w:sz w:val="24"/>
              </w:rPr>
            </w:pPr>
          </w:p>
        </w:tc>
        <w:tc>
          <w:tcPr>
            <w:tcW w:w="794" w:type="dxa"/>
            <w:vAlign w:val="center"/>
          </w:tcPr>
          <w:p w14:paraId="7BA83D50">
            <w:pPr>
              <w:adjustRightInd w:val="0"/>
              <w:snapToGrid w:val="0"/>
              <w:spacing w:line="360" w:lineRule="auto"/>
              <w:jc w:val="left"/>
              <w:rPr>
                <w:rFonts w:ascii="宋体" w:hAnsi="宋体"/>
                <w:sz w:val="24"/>
              </w:rPr>
            </w:pPr>
          </w:p>
        </w:tc>
        <w:tc>
          <w:tcPr>
            <w:tcW w:w="2149" w:type="dxa"/>
            <w:vAlign w:val="center"/>
          </w:tcPr>
          <w:p w14:paraId="00450F6A">
            <w:pPr>
              <w:adjustRightInd w:val="0"/>
              <w:snapToGrid w:val="0"/>
              <w:spacing w:line="360" w:lineRule="auto"/>
              <w:jc w:val="left"/>
              <w:rPr>
                <w:rFonts w:ascii="宋体" w:hAnsi="宋体"/>
                <w:sz w:val="24"/>
              </w:rPr>
            </w:pPr>
          </w:p>
        </w:tc>
        <w:tc>
          <w:tcPr>
            <w:tcW w:w="2268" w:type="dxa"/>
            <w:vAlign w:val="center"/>
          </w:tcPr>
          <w:p w14:paraId="746D17F7">
            <w:pPr>
              <w:adjustRightInd w:val="0"/>
              <w:snapToGrid w:val="0"/>
              <w:spacing w:line="360" w:lineRule="auto"/>
              <w:jc w:val="left"/>
              <w:rPr>
                <w:rFonts w:ascii="宋体" w:hAnsi="宋体"/>
                <w:sz w:val="24"/>
              </w:rPr>
            </w:pPr>
          </w:p>
        </w:tc>
      </w:tr>
      <w:tr w14:paraId="4FFEC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06196F42">
            <w:pPr>
              <w:adjustRightInd w:val="0"/>
              <w:snapToGrid w:val="0"/>
              <w:spacing w:line="360" w:lineRule="auto"/>
              <w:jc w:val="left"/>
              <w:rPr>
                <w:rFonts w:ascii="宋体" w:hAnsi="宋体"/>
                <w:sz w:val="24"/>
              </w:rPr>
            </w:pPr>
          </w:p>
        </w:tc>
        <w:tc>
          <w:tcPr>
            <w:tcW w:w="900" w:type="dxa"/>
            <w:vAlign w:val="center"/>
          </w:tcPr>
          <w:p w14:paraId="18CDD83F">
            <w:pPr>
              <w:adjustRightInd w:val="0"/>
              <w:snapToGrid w:val="0"/>
              <w:spacing w:line="360" w:lineRule="auto"/>
              <w:jc w:val="left"/>
              <w:rPr>
                <w:rFonts w:ascii="宋体" w:hAnsi="宋体"/>
                <w:sz w:val="24"/>
              </w:rPr>
            </w:pPr>
          </w:p>
        </w:tc>
        <w:tc>
          <w:tcPr>
            <w:tcW w:w="900" w:type="dxa"/>
            <w:vAlign w:val="center"/>
          </w:tcPr>
          <w:p w14:paraId="2BEDB53D">
            <w:pPr>
              <w:adjustRightInd w:val="0"/>
              <w:snapToGrid w:val="0"/>
              <w:spacing w:line="360" w:lineRule="auto"/>
              <w:jc w:val="left"/>
              <w:rPr>
                <w:rFonts w:ascii="宋体" w:hAnsi="宋体"/>
                <w:sz w:val="24"/>
              </w:rPr>
            </w:pPr>
          </w:p>
        </w:tc>
        <w:tc>
          <w:tcPr>
            <w:tcW w:w="1082" w:type="dxa"/>
            <w:vAlign w:val="center"/>
          </w:tcPr>
          <w:p w14:paraId="594EC285">
            <w:pPr>
              <w:adjustRightInd w:val="0"/>
              <w:snapToGrid w:val="0"/>
              <w:spacing w:line="360" w:lineRule="auto"/>
              <w:jc w:val="left"/>
              <w:rPr>
                <w:rFonts w:ascii="宋体" w:hAnsi="宋体"/>
                <w:sz w:val="24"/>
              </w:rPr>
            </w:pPr>
          </w:p>
        </w:tc>
        <w:tc>
          <w:tcPr>
            <w:tcW w:w="794" w:type="dxa"/>
            <w:vAlign w:val="center"/>
          </w:tcPr>
          <w:p w14:paraId="3D894E98">
            <w:pPr>
              <w:adjustRightInd w:val="0"/>
              <w:snapToGrid w:val="0"/>
              <w:spacing w:line="360" w:lineRule="auto"/>
              <w:jc w:val="left"/>
              <w:rPr>
                <w:rFonts w:ascii="宋体" w:hAnsi="宋体"/>
                <w:sz w:val="24"/>
              </w:rPr>
            </w:pPr>
          </w:p>
        </w:tc>
        <w:tc>
          <w:tcPr>
            <w:tcW w:w="2149" w:type="dxa"/>
            <w:vAlign w:val="center"/>
          </w:tcPr>
          <w:p w14:paraId="5798F4BC">
            <w:pPr>
              <w:adjustRightInd w:val="0"/>
              <w:snapToGrid w:val="0"/>
              <w:spacing w:line="360" w:lineRule="auto"/>
              <w:jc w:val="left"/>
              <w:rPr>
                <w:rFonts w:ascii="宋体" w:hAnsi="宋体"/>
                <w:sz w:val="24"/>
              </w:rPr>
            </w:pPr>
          </w:p>
        </w:tc>
        <w:tc>
          <w:tcPr>
            <w:tcW w:w="2268" w:type="dxa"/>
            <w:vAlign w:val="center"/>
          </w:tcPr>
          <w:p w14:paraId="21F1B022">
            <w:pPr>
              <w:adjustRightInd w:val="0"/>
              <w:snapToGrid w:val="0"/>
              <w:spacing w:line="360" w:lineRule="auto"/>
              <w:jc w:val="left"/>
              <w:rPr>
                <w:rFonts w:ascii="宋体" w:hAnsi="宋体"/>
                <w:sz w:val="24"/>
              </w:rPr>
            </w:pPr>
          </w:p>
        </w:tc>
      </w:tr>
      <w:tr w14:paraId="27941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7C4D109B">
            <w:pPr>
              <w:adjustRightInd w:val="0"/>
              <w:snapToGrid w:val="0"/>
              <w:spacing w:line="360" w:lineRule="auto"/>
              <w:jc w:val="left"/>
              <w:rPr>
                <w:rFonts w:ascii="宋体" w:hAnsi="宋体"/>
                <w:sz w:val="24"/>
              </w:rPr>
            </w:pPr>
          </w:p>
        </w:tc>
        <w:tc>
          <w:tcPr>
            <w:tcW w:w="900" w:type="dxa"/>
            <w:vAlign w:val="center"/>
          </w:tcPr>
          <w:p w14:paraId="3382F682">
            <w:pPr>
              <w:adjustRightInd w:val="0"/>
              <w:snapToGrid w:val="0"/>
              <w:spacing w:line="360" w:lineRule="auto"/>
              <w:jc w:val="left"/>
              <w:rPr>
                <w:rFonts w:ascii="宋体" w:hAnsi="宋体"/>
                <w:sz w:val="24"/>
              </w:rPr>
            </w:pPr>
          </w:p>
        </w:tc>
        <w:tc>
          <w:tcPr>
            <w:tcW w:w="900" w:type="dxa"/>
            <w:vAlign w:val="center"/>
          </w:tcPr>
          <w:p w14:paraId="423797CB">
            <w:pPr>
              <w:adjustRightInd w:val="0"/>
              <w:snapToGrid w:val="0"/>
              <w:spacing w:line="360" w:lineRule="auto"/>
              <w:jc w:val="left"/>
              <w:rPr>
                <w:rFonts w:ascii="宋体" w:hAnsi="宋体"/>
                <w:sz w:val="24"/>
              </w:rPr>
            </w:pPr>
          </w:p>
        </w:tc>
        <w:tc>
          <w:tcPr>
            <w:tcW w:w="1082" w:type="dxa"/>
            <w:vAlign w:val="center"/>
          </w:tcPr>
          <w:p w14:paraId="69C713EC">
            <w:pPr>
              <w:adjustRightInd w:val="0"/>
              <w:snapToGrid w:val="0"/>
              <w:spacing w:line="360" w:lineRule="auto"/>
              <w:jc w:val="left"/>
              <w:rPr>
                <w:rFonts w:ascii="宋体" w:hAnsi="宋体"/>
                <w:sz w:val="24"/>
              </w:rPr>
            </w:pPr>
          </w:p>
        </w:tc>
        <w:tc>
          <w:tcPr>
            <w:tcW w:w="794" w:type="dxa"/>
            <w:vAlign w:val="center"/>
          </w:tcPr>
          <w:p w14:paraId="15542206">
            <w:pPr>
              <w:adjustRightInd w:val="0"/>
              <w:snapToGrid w:val="0"/>
              <w:spacing w:line="360" w:lineRule="auto"/>
              <w:jc w:val="left"/>
              <w:rPr>
                <w:rFonts w:ascii="宋体" w:hAnsi="宋体"/>
                <w:sz w:val="24"/>
              </w:rPr>
            </w:pPr>
          </w:p>
        </w:tc>
        <w:tc>
          <w:tcPr>
            <w:tcW w:w="2149" w:type="dxa"/>
            <w:vAlign w:val="center"/>
          </w:tcPr>
          <w:p w14:paraId="57A9F920">
            <w:pPr>
              <w:adjustRightInd w:val="0"/>
              <w:snapToGrid w:val="0"/>
              <w:spacing w:line="360" w:lineRule="auto"/>
              <w:jc w:val="left"/>
              <w:rPr>
                <w:rFonts w:ascii="宋体" w:hAnsi="宋体"/>
                <w:sz w:val="24"/>
              </w:rPr>
            </w:pPr>
          </w:p>
        </w:tc>
        <w:tc>
          <w:tcPr>
            <w:tcW w:w="2268" w:type="dxa"/>
            <w:vAlign w:val="center"/>
          </w:tcPr>
          <w:p w14:paraId="2EC71C44">
            <w:pPr>
              <w:adjustRightInd w:val="0"/>
              <w:snapToGrid w:val="0"/>
              <w:spacing w:line="360" w:lineRule="auto"/>
              <w:jc w:val="left"/>
              <w:rPr>
                <w:rFonts w:ascii="宋体" w:hAnsi="宋体"/>
                <w:sz w:val="24"/>
              </w:rPr>
            </w:pPr>
          </w:p>
        </w:tc>
      </w:tr>
      <w:tr w14:paraId="1BA5E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77151CAE">
            <w:pPr>
              <w:adjustRightInd w:val="0"/>
              <w:snapToGrid w:val="0"/>
              <w:spacing w:line="360" w:lineRule="auto"/>
              <w:jc w:val="left"/>
              <w:rPr>
                <w:rFonts w:ascii="宋体" w:hAnsi="宋体"/>
                <w:sz w:val="24"/>
              </w:rPr>
            </w:pPr>
          </w:p>
        </w:tc>
        <w:tc>
          <w:tcPr>
            <w:tcW w:w="900" w:type="dxa"/>
            <w:vAlign w:val="center"/>
          </w:tcPr>
          <w:p w14:paraId="7FFA3CCA">
            <w:pPr>
              <w:adjustRightInd w:val="0"/>
              <w:snapToGrid w:val="0"/>
              <w:spacing w:line="360" w:lineRule="auto"/>
              <w:jc w:val="left"/>
              <w:rPr>
                <w:rFonts w:ascii="宋体" w:hAnsi="宋体"/>
                <w:sz w:val="24"/>
              </w:rPr>
            </w:pPr>
          </w:p>
        </w:tc>
        <w:tc>
          <w:tcPr>
            <w:tcW w:w="900" w:type="dxa"/>
            <w:vAlign w:val="center"/>
          </w:tcPr>
          <w:p w14:paraId="3DFAFBB5">
            <w:pPr>
              <w:adjustRightInd w:val="0"/>
              <w:snapToGrid w:val="0"/>
              <w:spacing w:line="360" w:lineRule="auto"/>
              <w:jc w:val="left"/>
              <w:rPr>
                <w:rFonts w:ascii="宋体" w:hAnsi="宋体"/>
                <w:sz w:val="24"/>
              </w:rPr>
            </w:pPr>
          </w:p>
        </w:tc>
        <w:tc>
          <w:tcPr>
            <w:tcW w:w="1082" w:type="dxa"/>
            <w:vAlign w:val="center"/>
          </w:tcPr>
          <w:p w14:paraId="60971F00">
            <w:pPr>
              <w:adjustRightInd w:val="0"/>
              <w:snapToGrid w:val="0"/>
              <w:spacing w:line="360" w:lineRule="auto"/>
              <w:jc w:val="left"/>
              <w:rPr>
                <w:rFonts w:ascii="宋体" w:hAnsi="宋体"/>
                <w:sz w:val="24"/>
              </w:rPr>
            </w:pPr>
          </w:p>
        </w:tc>
        <w:tc>
          <w:tcPr>
            <w:tcW w:w="794" w:type="dxa"/>
            <w:vAlign w:val="center"/>
          </w:tcPr>
          <w:p w14:paraId="208D3172">
            <w:pPr>
              <w:adjustRightInd w:val="0"/>
              <w:snapToGrid w:val="0"/>
              <w:spacing w:line="360" w:lineRule="auto"/>
              <w:jc w:val="left"/>
              <w:rPr>
                <w:rFonts w:ascii="宋体" w:hAnsi="宋体"/>
                <w:sz w:val="24"/>
              </w:rPr>
            </w:pPr>
          </w:p>
        </w:tc>
        <w:tc>
          <w:tcPr>
            <w:tcW w:w="2149" w:type="dxa"/>
            <w:vAlign w:val="center"/>
          </w:tcPr>
          <w:p w14:paraId="63AEB236">
            <w:pPr>
              <w:adjustRightInd w:val="0"/>
              <w:snapToGrid w:val="0"/>
              <w:spacing w:line="360" w:lineRule="auto"/>
              <w:jc w:val="left"/>
              <w:rPr>
                <w:rFonts w:ascii="宋体" w:hAnsi="宋体"/>
                <w:sz w:val="24"/>
              </w:rPr>
            </w:pPr>
          </w:p>
        </w:tc>
        <w:tc>
          <w:tcPr>
            <w:tcW w:w="2268" w:type="dxa"/>
            <w:vAlign w:val="center"/>
          </w:tcPr>
          <w:p w14:paraId="3FF7AC9D">
            <w:pPr>
              <w:adjustRightInd w:val="0"/>
              <w:snapToGrid w:val="0"/>
              <w:spacing w:line="360" w:lineRule="auto"/>
              <w:jc w:val="left"/>
              <w:rPr>
                <w:rFonts w:ascii="宋体" w:hAnsi="宋体"/>
                <w:sz w:val="24"/>
              </w:rPr>
            </w:pPr>
          </w:p>
        </w:tc>
      </w:tr>
      <w:tr w14:paraId="54B79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474AB5B3">
            <w:pPr>
              <w:adjustRightInd w:val="0"/>
              <w:snapToGrid w:val="0"/>
              <w:spacing w:line="360" w:lineRule="auto"/>
              <w:jc w:val="left"/>
              <w:rPr>
                <w:rFonts w:ascii="宋体" w:hAnsi="宋体"/>
                <w:sz w:val="24"/>
              </w:rPr>
            </w:pPr>
          </w:p>
        </w:tc>
        <w:tc>
          <w:tcPr>
            <w:tcW w:w="900" w:type="dxa"/>
            <w:vAlign w:val="center"/>
          </w:tcPr>
          <w:p w14:paraId="18296B52">
            <w:pPr>
              <w:adjustRightInd w:val="0"/>
              <w:snapToGrid w:val="0"/>
              <w:spacing w:line="360" w:lineRule="auto"/>
              <w:jc w:val="left"/>
              <w:rPr>
                <w:rFonts w:ascii="宋体" w:hAnsi="宋体"/>
                <w:sz w:val="24"/>
              </w:rPr>
            </w:pPr>
          </w:p>
        </w:tc>
        <w:tc>
          <w:tcPr>
            <w:tcW w:w="900" w:type="dxa"/>
            <w:vAlign w:val="center"/>
          </w:tcPr>
          <w:p w14:paraId="0806F3B9">
            <w:pPr>
              <w:adjustRightInd w:val="0"/>
              <w:snapToGrid w:val="0"/>
              <w:spacing w:line="360" w:lineRule="auto"/>
              <w:jc w:val="left"/>
              <w:rPr>
                <w:rFonts w:ascii="宋体" w:hAnsi="宋体"/>
                <w:sz w:val="24"/>
              </w:rPr>
            </w:pPr>
          </w:p>
        </w:tc>
        <w:tc>
          <w:tcPr>
            <w:tcW w:w="1082" w:type="dxa"/>
            <w:vAlign w:val="center"/>
          </w:tcPr>
          <w:p w14:paraId="0DC0A5E6">
            <w:pPr>
              <w:adjustRightInd w:val="0"/>
              <w:snapToGrid w:val="0"/>
              <w:spacing w:line="360" w:lineRule="auto"/>
              <w:jc w:val="left"/>
              <w:rPr>
                <w:rFonts w:ascii="宋体" w:hAnsi="宋体"/>
                <w:sz w:val="24"/>
              </w:rPr>
            </w:pPr>
          </w:p>
        </w:tc>
        <w:tc>
          <w:tcPr>
            <w:tcW w:w="794" w:type="dxa"/>
            <w:vAlign w:val="center"/>
          </w:tcPr>
          <w:p w14:paraId="32A92A0B">
            <w:pPr>
              <w:adjustRightInd w:val="0"/>
              <w:snapToGrid w:val="0"/>
              <w:spacing w:line="360" w:lineRule="auto"/>
              <w:jc w:val="left"/>
              <w:rPr>
                <w:rFonts w:ascii="宋体" w:hAnsi="宋体"/>
                <w:sz w:val="24"/>
              </w:rPr>
            </w:pPr>
          </w:p>
        </w:tc>
        <w:tc>
          <w:tcPr>
            <w:tcW w:w="2149" w:type="dxa"/>
            <w:vAlign w:val="center"/>
          </w:tcPr>
          <w:p w14:paraId="1EBEB866">
            <w:pPr>
              <w:adjustRightInd w:val="0"/>
              <w:snapToGrid w:val="0"/>
              <w:spacing w:line="360" w:lineRule="auto"/>
              <w:jc w:val="left"/>
              <w:rPr>
                <w:rFonts w:ascii="宋体" w:hAnsi="宋体"/>
                <w:sz w:val="24"/>
              </w:rPr>
            </w:pPr>
          </w:p>
        </w:tc>
        <w:tc>
          <w:tcPr>
            <w:tcW w:w="2268" w:type="dxa"/>
            <w:vAlign w:val="center"/>
          </w:tcPr>
          <w:p w14:paraId="15B4D0B6">
            <w:pPr>
              <w:adjustRightInd w:val="0"/>
              <w:snapToGrid w:val="0"/>
              <w:spacing w:line="360" w:lineRule="auto"/>
              <w:jc w:val="left"/>
              <w:rPr>
                <w:rFonts w:ascii="宋体" w:hAnsi="宋体"/>
                <w:sz w:val="24"/>
              </w:rPr>
            </w:pPr>
          </w:p>
        </w:tc>
      </w:tr>
      <w:tr w14:paraId="50ABF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2328BB3C">
            <w:pPr>
              <w:adjustRightInd w:val="0"/>
              <w:snapToGrid w:val="0"/>
              <w:spacing w:line="360" w:lineRule="auto"/>
              <w:jc w:val="left"/>
              <w:rPr>
                <w:rFonts w:ascii="宋体" w:hAnsi="宋体"/>
                <w:sz w:val="24"/>
              </w:rPr>
            </w:pPr>
          </w:p>
        </w:tc>
        <w:tc>
          <w:tcPr>
            <w:tcW w:w="900" w:type="dxa"/>
            <w:vAlign w:val="center"/>
          </w:tcPr>
          <w:p w14:paraId="6CA3A7EA">
            <w:pPr>
              <w:adjustRightInd w:val="0"/>
              <w:snapToGrid w:val="0"/>
              <w:spacing w:line="360" w:lineRule="auto"/>
              <w:jc w:val="left"/>
              <w:rPr>
                <w:rFonts w:ascii="宋体" w:hAnsi="宋体"/>
                <w:sz w:val="24"/>
              </w:rPr>
            </w:pPr>
          </w:p>
        </w:tc>
        <w:tc>
          <w:tcPr>
            <w:tcW w:w="900" w:type="dxa"/>
            <w:vAlign w:val="center"/>
          </w:tcPr>
          <w:p w14:paraId="5D6DA1E9">
            <w:pPr>
              <w:adjustRightInd w:val="0"/>
              <w:snapToGrid w:val="0"/>
              <w:spacing w:line="360" w:lineRule="auto"/>
              <w:jc w:val="left"/>
              <w:rPr>
                <w:rFonts w:ascii="宋体" w:hAnsi="宋体"/>
                <w:sz w:val="24"/>
              </w:rPr>
            </w:pPr>
          </w:p>
        </w:tc>
        <w:tc>
          <w:tcPr>
            <w:tcW w:w="1082" w:type="dxa"/>
            <w:vAlign w:val="center"/>
          </w:tcPr>
          <w:p w14:paraId="51E942AE">
            <w:pPr>
              <w:adjustRightInd w:val="0"/>
              <w:snapToGrid w:val="0"/>
              <w:spacing w:line="360" w:lineRule="auto"/>
              <w:jc w:val="left"/>
              <w:rPr>
                <w:rFonts w:ascii="宋体" w:hAnsi="宋体"/>
                <w:sz w:val="24"/>
              </w:rPr>
            </w:pPr>
          </w:p>
        </w:tc>
        <w:tc>
          <w:tcPr>
            <w:tcW w:w="794" w:type="dxa"/>
            <w:vAlign w:val="center"/>
          </w:tcPr>
          <w:p w14:paraId="7CB001A5">
            <w:pPr>
              <w:adjustRightInd w:val="0"/>
              <w:snapToGrid w:val="0"/>
              <w:spacing w:line="360" w:lineRule="auto"/>
              <w:jc w:val="left"/>
              <w:rPr>
                <w:rFonts w:ascii="宋体" w:hAnsi="宋体"/>
                <w:sz w:val="24"/>
              </w:rPr>
            </w:pPr>
          </w:p>
        </w:tc>
        <w:tc>
          <w:tcPr>
            <w:tcW w:w="2149" w:type="dxa"/>
            <w:vAlign w:val="center"/>
          </w:tcPr>
          <w:p w14:paraId="073C217D">
            <w:pPr>
              <w:adjustRightInd w:val="0"/>
              <w:snapToGrid w:val="0"/>
              <w:spacing w:line="360" w:lineRule="auto"/>
              <w:jc w:val="left"/>
              <w:rPr>
                <w:rFonts w:ascii="宋体" w:hAnsi="宋体"/>
                <w:sz w:val="24"/>
              </w:rPr>
            </w:pPr>
          </w:p>
        </w:tc>
        <w:tc>
          <w:tcPr>
            <w:tcW w:w="2268" w:type="dxa"/>
            <w:vAlign w:val="center"/>
          </w:tcPr>
          <w:p w14:paraId="28DD6658">
            <w:pPr>
              <w:adjustRightInd w:val="0"/>
              <w:snapToGrid w:val="0"/>
              <w:spacing w:line="360" w:lineRule="auto"/>
              <w:jc w:val="left"/>
              <w:rPr>
                <w:rFonts w:ascii="宋体" w:hAnsi="宋体"/>
                <w:sz w:val="24"/>
              </w:rPr>
            </w:pPr>
          </w:p>
        </w:tc>
      </w:tr>
      <w:tr w14:paraId="658F3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71573D31">
            <w:pPr>
              <w:adjustRightInd w:val="0"/>
              <w:snapToGrid w:val="0"/>
              <w:spacing w:line="360" w:lineRule="auto"/>
              <w:jc w:val="left"/>
              <w:rPr>
                <w:rFonts w:ascii="宋体" w:hAnsi="宋体"/>
                <w:sz w:val="24"/>
              </w:rPr>
            </w:pPr>
          </w:p>
        </w:tc>
        <w:tc>
          <w:tcPr>
            <w:tcW w:w="900" w:type="dxa"/>
            <w:vAlign w:val="center"/>
          </w:tcPr>
          <w:p w14:paraId="3AD38008">
            <w:pPr>
              <w:adjustRightInd w:val="0"/>
              <w:snapToGrid w:val="0"/>
              <w:spacing w:line="360" w:lineRule="auto"/>
              <w:jc w:val="left"/>
              <w:rPr>
                <w:rFonts w:ascii="宋体" w:hAnsi="宋体"/>
                <w:sz w:val="24"/>
              </w:rPr>
            </w:pPr>
          </w:p>
        </w:tc>
        <w:tc>
          <w:tcPr>
            <w:tcW w:w="900" w:type="dxa"/>
            <w:vAlign w:val="center"/>
          </w:tcPr>
          <w:p w14:paraId="5EE376DD">
            <w:pPr>
              <w:adjustRightInd w:val="0"/>
              <w:snapToGrid w:val="0"/>
              <w:spacing w:line="360" w:lineRule="auto"/>
              <w:jc w:val="left"/>
              <w:rPr>
                <w:rFonts w:ascii="宋体" w:hAnsi="宋体"/>
                <w:sz w:val="24"/>
              </w:rPr>
            </w:pPr>
          </w:p>
        </w:tc>
        <w:tc>
          <w:tcPr>
            <w:tcW w:w="1082" w:type="dxa"/>
            <w:vAlign w:val="center"/>
          </w:tcPr>
          <w:p w14:paraId="5753F2D2">
            <w:pPr>
              <w:adjustRightInd w:val="0"/>
              <w:snapToGrid w:val="0"/>
              <w:spacing w:line="360" w:lineRule="auto"/>
              <w:jc w:val="left"/>
              <w:rPr>
                <w:rFonts w:ascii="宋体" w:hAnsi="宋体"/>
                <w:sz w:val="24"/>
              </w:rPr>
            </w:pPr>
          </w:p>
        </w:tc>
        <w:tc>
          <w:tcPr>
            <w:tcW w:w="794" w:type="dxa"/>
            <w:vAlign w:val="center"/>
          </w:tcPr>
          <w:p w14:paraId="4A9749C4">
            <w:pPr>
              <w:adjustRightInd w:val="0"/>
              <w:snapToGrid w:val="0"/>
              <w:spacing w:line="360" w:lineRule="auto"/>
              <w:jc w:val="left"/>
              <w:rPr>
                <w:rFonts w:ascii="宋体" w:hAnsi="宋体"/>
                <w:sz w:val="24"/>
              </w:rPr>
            </w:pPr>
          </w:p>
        </w:tc>
        <w:tc>
          <w:tcPr>
            <w:tcW w:w="2149" w:type="dxa"/>
            <w:vAlign w:val="center"/>
          </w:tcPr>
          <w:p w14:paraId="28F5B820">
            <w:pPr>
              <w:adjustRightInd w:val="0"/>
              <w:snapToGrid w:val="0"/>
              <w:spacing w:line="360" w:lineRule="auto"/>
              <w:jc w:val="left"/>
              <w:rPr>
                <w:rFonts w:ascii="宋体" w:hAnsi="宋体"/>
                <w:sz w:val="24"/>
              </w:rPr>
            </w:pPr>
          </w:p>
        </w:tc>
        <w:tc>
          <w:tcPr>
            <w:tcW w:w="2268" w:type="dxa"/>
            <w:vAlign w:val="center"/>
          </w:tcPr>
          <w:p w14:paraId="75A567E2">
            <w:pPr>
              <w:adjustRightInd w:val="0"/>
              <w:snapToGrid w:val="0"/>
              <w:spacing w:line="360" w:lineRule="auto"/>
              <w:jc w:val="left"/>
              <w:rPr>
                <w:rFonts w:ascii="宋体" w:hAnsi="宋体"/>
                <w:sz w:val="24"/>
              </w:rPr>
            </w:pPr>
          </w:p>
        </w:tc>
      </w:tr>
      <w:tr w14:paraId="1DA19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41F6C9F2">
            <w:pPr>
              <w:adjustRightInd w:val="0"/>
              <w:snapToGrid w:val="0"/>
              <w:spacing w:line="360" w:lineRule="auto"/>
              <w:jc w:val="left"/>
              <w:rPr>
                <w:rFonts w:ascii="宋体" w:hAnsi="宋体"/>
                <w:sz w:val="24"/>
              </w:rPr>
            </w:pPr>
          </w:p>
        </w:tc>
        <w:tc>
          <w:tcPr>
            <w:tcW w:w="900" w:type="dxa"/>
            <w:vAlign w:val="center"/>
          </w:tcPr>
          <w:p w14:paraId="33AE2C45">
            <w:pPr>
              <w:adjustRightInd w:val="0"/>
              <w:snapToGrid w:val="0"/>
              <w:spacing w:line="360" w:lineRule="auto"/>
              <w:jc w:val="left"/>
              <w:rPr>
                <w:rFonts w:ascii="宋体" w:hAnsi="宋体"/>
                <w:sz w:val="24"/>
              </w:rPr>
            </w:pPr>
          </w:p>
        </w:tc>
        <w:tc>
          <w:tcPr>
            <w:tcW w:w="900" w:type="dxa"/>
            <w:vAlign w:val="center"/>
          </w:tcPr>
          <w:p w14:paraId="3BE5275C">
            <w:pPr>
              <w:adjustRightInd w:val="0"/>
              <w:snapToGrid w:val="0"/>
              <w:spacing w:line="360" w:lineRule="auto"/>
              <w:jc w:val="left"/>
              <w:rPr>
                <w:rFonts w:ascii="宋体" w:hAnsi="宋体"/>
                <w:sz w:val="24"/>
              </w:rPr>
            </w:pPr>
          </w:p>
        </w:tc>
        <w:tc>
          <w:tcPr>
            <w:tcW w:w="1082" w:type="dxa"/>
            <w:vAlign w:val="center"/>
          </w:tcPr>
          <w:p w14:paraId="6123DB86">
            <w:pPr>
              <w:adjustRightInd w:val="0"/>
              <w:snapToGrid w:val="0"/>
              <w:spacing w:line="360" w:lineRule="auto"/>
              <w:jc w:val="left"/>
              <w:rPr>
                <w:rFonts w:ascii="宋体" w:hAnsi="宋体"/>
                <w:sz w:val="24"/>
              </w:rPr>
            </w:pPr>
          </w:p>
        </w:tc>
        <w:tc>
          <w:tcPr>
            <w:tcW w:w="794" w:type="dxa"/>
            <w:vAlign w:val="center"/>
          </w:tcPr>
          <w:p w14:paraId="37A97B1F">
            <w:pPr>
              <w:adjustRightInd w:val="0"/>
              <w:snapToGrid w:val="0"/>
              <w:spacing w:line="360" w:lineRule="auto"/>
              <w:jc w:val="left"/>
              <w:rPr>
                <w:rFonts w:ascii="宋体" w:hAnsi="宋体"/>
                <w:sz w:val="24"/>
              </w:rPr>
            </w:pPr>
          </w:p>
        </w:tc>
        <w:tc>
          <w:tcPr>
            <w:tcW w:w="2149" w:type="dxa"/>
            <w:vAlign w:val="center"/>
          </w:tcPr>
          <w:p w14:paraId="7BE52D20">
            <w:pPr>
              <w:adjustRightInd w:val="0"/>
              <w:snapToGrid w:val="0"/>
              <w:spacing w:line="360" w:lineRule="auto"/>
              <w:jc w:val="left"/>
              <w:rPr>
                <w:rFonts w:ascii="宋体" w:hAnsi="宋体"/>
                <w:sz w:val="24"/>
              </w:rPr>
            </w:pPr>
          </w:p>
        </w:tc>
        <w:tc>
          <w:tcPr>
            <w:tcW w:w="2268" w:type="dxa"/>
            <w:vAlign w:val="center"/>
          </w:tcPr>
          <w:p w14:paraId="22010ECD">
            <w:pPr>
              <w:adjustRightInd w:val="0"/>
              <w:snapToGrid w:val="0"/>
              <w:spacing w:line="360" w:lineRule="auto"/>
              <w:jc w:val="left"/>
              <w:rPr>
                <w:rFonts w:ascii="宋体" w:hAnsi="宋体"/>
                <w:sz w:val="24"/>
              </w:rPr>
            </w:pPr>
          </w:p>
        </w:tc>
      </w:tr>
      <w:tr w14:paraId="489A2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5A3C3F57">
            <w:pPr>
              <w:adjustRightInd w:val="0"/>
              <w:snapToGrid w:val="0"/>
              <w:spacing w:line="360" w:lineRule="auto"/>
              <w:jc w:val="left"/>
              <w:rPr>
                <w:rFonts w:ascii="宋体" w:hAnsi="宋体"/>
                <w:sz w:val="24"/>
              </w:rPr>
            </w:pPr>
          </w:p>
        </w:tc>
        <w:tc>
          <w:tcPr>
            <w:tcW w:w="900" w:type="dxa"/>
            <w:vAlign w:val="center"/>
          </w:tcPr>
          <w:p w14:paraId="5456E204">
            <w:pPr>
              <w:adjustRightInd w:val="0"/>
              <w:snapToGrid w:val="0"/>
              <w:spacing w:line="360" w:lineRule="auto"/>
              <w:jc w:val="left"/>
              <w:rPr>
                <w:rFonts w:ascii="宋体" w:hAnsi="宋体"/>
                <w:sz w:val="24"/>
              </w:rPr>
            </w:pPr>
          </w:p>
        </w:tc>
        <w:tc>
          <w:tcPr>
            <w:tcW w:w="900" w:type="dxa"/>
            <w:vAlign w:val="center"/>
          </w:tcPr>
          <w:p w14:paraId="2429A57F">
            <w:pPr>
              <w:adjustRightInd w:val="0"/>
              <w:snapToGrid w:val="0"/>
              <w:spacing w:line="360" w:lineRule="auto"/>
              <w:jc w:val="left"/>
              <w:rPr>
                <w:rFonts w:ascii="宋体" w:hAnsi="宋体"/>
                <w:sz w:val="24"/>
              </w:rPr>
            </w:pPr>
          </w:p>
        </w:tc>
        <w:tc>
          <w:tcPr>
            <w:tcW w:w="1082" w:type="dxa"/>
            <w:vAlign w:val="center"/>
          </w:tcPr>
          <w:p w14:paraId="6CBEBE25">
            <w:pPr>
              <w:adjustRightInd w:val="0"/>
              <w:snapToGrid w:val="0"/>
              <w:spacing w:line="360" w:lineRule="auto"/>
              <w:jc w:val="left"/>
              <w:rPr>
                <w:rFonts w:ascii="宋体" w:hAnsi="宋体"/>
                <w:sz w:val="24"/>
              </w:rPr>
            </w:pPr>
          </w:p>
        </w:tc>
        <w:tc>
          <w:tcPr>
            <w:tcW w:w="794" w:type="dxa"/>
            <w:vAlign w:val="center"/>
          </w:tcPr>
          <w:p w14:paraId="6C917671">
            <w:pPr>
              <w:adjustRightInd w:val="0"/>
              <w:snapToGrid w:val="0"/>
              <w:spacing w:line="360" w:lineRule="auto"/>
              <w:jc w:val="left"/>
              <w:rPr>
                <w:rFonts w:ascii="宋体" w:hAnsi="宋体"/>
                <w:sz w:val="24"/>
              </w:rPr>
            </w:pPr>
          </w:p>
        </w:tc>
        <w:tc>
          <w:tcPr>
            <w:tcW w:w="2149" w:type="dxa"/>
            <w:vAlign w:val="center"/>
          </w:tcPr>
          <w:p w14:paraId="2379C790">
            <w:pPr>
              <w:adjustRightInd w:val="0"/>
              <w:snapToGrid w:val="0"/>
              <w:spacing w:line="360" w:lineRule="auto"/>
              <w:jc w:val="left"/>
              <w:rPr>
                <w:rFonts w:ascii="宋体" w:hAnsi="宋体"/>
                <w:sz w:val="24"/>
              </w:rPr>
            </w:pPr>
          </w:p>
        </w:tc>
        <w:tc>
          <w:tcPr>
            <w:tcW w:w="2268" w:type="dxa"/>
            <w:vAlign w:val="center"/>
          </w:tcPr>
          <w:p w14:paraId="11E99231">
            <w:pPr>
              <w:adjustRightInd w:val="0"/>
              <w:snapToGrid w:val="0"/>
              <w:spacing w:line="360" w:lineRule="auto"/>
              <w:jc w:val="left"/>
              <w:rPr>
                <w:rFonts w:ascii="宋体" w:hAnsi="宋体"/>
                <w:sz w:val="24"/>
              </w:rPr>
            </w:pPr>
          </w:p>
        </w:tc>
      </w:tr>
      <w:tr w14:paraId="5DA28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5C1AA059">
            <w:pPr>
              <w:adjustRightInd w:val="0"/>
              <w:snapToGrid w:val="0"/>
              <w:spacing w:line="360" w:lineRule="auto"/>
              <w:jc w:val="left"/>
              <w:rPr>
                <w:rFonts w:ascii="宋体" w:hAnsi="宋体"/>
                <w:sz w:val="24"/>
              </w:rPr>
            </w:pPr>
          </w:p>
        </w:tc>
        <w:tc>
          <w:tcPr>
            <w:tcW w:w="900" w:type="dxa"/>
            <w:vAlign w:val="center"/>
          </w:tcPr>
          <w:p w14:paraId="048667ED">
            <w:pPr>
              <w:adjustRightInd w:val="0"/>
              <w:snapToGrid w:val="0"/>
              <w:spacing w:line="360" w:lineRule="auto"/>
              <w:jc w:val="left"/>
              <w:rPr>
                <w:rFonts w:ascii="宋体" w:hAnsi="宋体"/>
                <w:sz w:val="24"/>
              </w:rPr>
            </w:pPr>
          </w:p>
        </w:tc>
        <w:tc>
          <w:tcPr>
            <w:tcW w:w="900" w:type="dxa"/>
            <w:vAlign w:val="center"/>
          </w:tcPr>
          <w:p w14:paraId="334DB0A9">
            <w:pPr>
              <w:adjustRightInd w:val="0"/>
              <w:snapToGrid w:val="0"/>
              <w:spacing w:line="360" w:lineRule="auto"/>
              <w:jc w:val="left"/>
              <w:rPr>
                <w:rFonts w:ascii="宋体" w:hAnsi="宋体"/>
                <w:sz w:val="24"/>
              </w:rPr>
            </w:pPr>
          </w:p>
        </w:tc>
        <w:tc>
          <w:tcPr>
            <w:tcW w:w="1082" w:type="dxa"/>
            <w:vAlign w:val="center"/>
          </w:tcPr>
          <w:p w14:paraId="467F1AC3">
            <w:pPr>
              <w:adjustRightInd w:val="0"/>
              <w:snapToGrid w:val="0"/>
              <w:spacing w:line="360" w:lineRule="auto"/>
              <w:jc w:val="left"/>
              <w:rPr>
                <w:rFonts w:ascii="宋体" w:hAnsi="宋体"/>
                <w:sz w:val="24"/>
              </w:rPr>
            </w:pPr>
          </w:p>
        </w:tc>
        <w:tc>
          <w:tcPr>
            <w:tcW w:w="794" w:type="dxa"/>
            <w:vAlign w:val="center"/>
          </w:tcPr>
          <w:p w14:paraId="15327CBD">
            <w:pPr>
              <w:adjustRightInd w:val="0"/>
              <w:snapToGrid w:val="0"/>
              <w:spacing w:line="360" w:lineRule="auto"/>
              <w:jc w:val="left"/>
              <w:rPr>
                <w:rFonts w:ascii="宋体" w:hAnsi="宋体"/>
                <w:sz w:val="24"/>
              </w:rPr>
            </w:pPr>
          </w:p>
        </w:tc>
        <w:tc>
          <w:tcPr>
            <w:tcW w:w="2149" w:type="dxa"/>
            <w:vAlign w:val="center"/>
          </w:tcPr>
          <w:p w14:paraId="4CE82697">
            <w:pPr>
              <w:adjustRightInd w:val="0"/>
              <w:snapToGrid w:val="0"/>
              <w:spacing w:line="360" w:lineRule="auto"/>
              <w:jc w:val="left"/>
              <w:rPr>
                <w:rFonts w:ascii="宋体" w:hAnsi="宋体"/>
                <w:sz w:val="24"/>
              </w:rPr>
            </w:pPr>
          </w:p>
        </w:tc>
        <w:tc>
          <w:tcPr>
            <w:tcW w:w="2268" w:type="dxa"/>
            <w:vAlign w:val="center"/>
          </w:tcPr>
          <w:p w14:paraId="011D5716">
            <w:pPr>
              <w:adjustRightInd w:val="0"/>
              <w:snapToGrid w:val="0"/>
              <w:spacing w:line="360" w:lineRule="auto"/>
              <w:jc w:val="left"/>
              <w:rPr>
                <w:rFonts w:ascii="宋体" w:hAnsi="宋体"/>
                <w:sz w:val="24"/>
              </w:rPr>
            </w:pPr>
          </w:p>
        </w:tc>
      </w:tr>
      <w:tr w14:paraId="5B4CC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401B75A4">
            <w:pPr>
              <w:adjustRightInd w:val="0"/>
              <w:snapToGrid w:val="0"/>
              <w:spacing w:line="360" w:lineRule="auto"/>
              <w:jc w:val="left"/>
              <w:rPr>
                <w:rFonts w:ascii="宋体" w:hAnsi="宋体"/>
                <w:sz w:val="24"/>
              </w:rPr>
            </w:pPr>
          </w:p>
        </w:tc>
        <w:tc>
          <w:tcPr>
            <w:tcW w:w="900" w:type="dxa"/>
            <w:vAlign w:val="center"/>
          </w:tcPr>
          <w:p w14:paraId="787CE978">
            <w:pPr>
              <w:adjustRightInd w:val="0"/>
              <w:snapToGrid w:val="0"/>
              <w:spacing w:line="360" w:lineRule="auto"/>
              <w:jc w:val="left"/>
              <w:rPr>
                <w:rFonts w:ascii="宋体" w:hAnsi="宋体"/>
                <w:sz w:val="24"/>
              </w:rPr>
            </w:pPr>
          </w:p>
        </w:tc>
        <w:tc>
          <w:tcPr>
            <w:tcW w:w="900" w:type="dxa"/>
            <w:vAlign w:val="center"/>
          </w:tcPr>
          <w:p w14:paraId="6B159913">
            <w:pPr>
              <w:adjustRightInd w:val="0"/>
              <w:snapToGrid w:val="0"/>
              <w:spacing w:line="360" w:lineRule="auto"/>
              <w:jc w:val="left"/>
              <w:rPr>
                <w:rFonts w:ascii="宋体" w:hAnsi="宋体"/>
                <w:sz w:val="24"/>
              </w:rPr>
            </w:pPr>
          </w:p>
        </w:tc>
        <w:tc>
          <w:tcPr>
            <w:tcW w:w="1082" w:type="dxa"/>
            <w:vAlign w:val="center"/>
          </w:tcPr>
          <w:p w14:paraId="369E711A">
            <w:pPr>
              <w:adjustRightInd w:val="0"/>
              <w:snapToGrid w:val="0"/>
              <w:spacing w:line="360" w:lineRule="auto"/>
              <w:jc w:val="left"/>
              <w:rPr>
                <w:rFonts w:ascii="宋体" w:hAnsi="宋体"/>
                <w:sz w:val="24"/>
              </w:rPr>
            </w:pPr>
          </w:p>
        </w:tc>
        <w:tc>
          <w:tcPr>
            <w:tcW w:w="794" w:type="dxa"/>
            <w:vAlign w:val="center"/>
          </w:tcPr>
          <w:p w14:paraId="7765CE61">
            <w:pPr>
              <w:adjustRightInd w:val="0"/>
              <w:snapToGrid w:val="0"/>
              <w:spacing w:line="360" w:lineRule="auto"/>
              <w:jc w:val="left"/>
              <w:rPr>
                <w:rFonts w:ascii="宋体" w:hAnsi="宋体"/>
                <w:sz w:val="24"/>
              </w:rPr>
            </w:pPr>
          </w:p>
        </w:tc>
        <w:tc>
          <w:tcPr>
            <w:tcW w:w="2149" w:type="dxa"/>
            <w:vAlign w:val="center"/>
          </w:tcPr>
          <w:p w14:paraId="17AB5A93">
            <w:pPr>
              <w:adjustRightInd w:val="0"/>
              <w:snapToGrid w:val="0"/>
              <w:spacing w:line="360" w:lineRule="auto"/>
              <w:jc w:val="left"/>
              <w:rPr>
                <w:rFonts w:ascii="宋体" w:hAnsi="宋体"/>
                <w:sz w:val="24"/>
              </w:rPr>
            </w:pPr>
          </w:p>
        </w:tc>
        <w:tc>
          <w:tcPr>
            <w:tcW w:w="2268" w:type="dxa"/>
            <w:vAlign w:val="center"/>
          </w:tcPr>
          <w:p w14:paraId="23BE6C48">
            <w:pPr>
              <w:adjustRightInd w:val="0"/>
              <w:snapToGrid w:val="0"/>
              <w:spacing w:line="360" w:lineRule="auto"/>
              <w:jc w:val="left"/>
              <w:rPr>
                <w:rFonts w:ascii="宋体" w:hAnsi="宋体"/>
                <w:sz w:val="24"/>
              </w:rPr>
            </w:pPr>
          </w:p>
        </w:tc>
      </w:tr>
      <w:tr w14:paraId="09EC8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14:paraId="2B65D769">
            <w:pPr>
              <w:adjustRightInd w:val="0"/>
              <w:snapToGrid w:val="0"/>
              <w:spacing w:line="360" w:lineRule="auto"/>
              <w:jc w:val="left"/>
              <w:rPr>
                <w:rFonts w:ascii="宋体" w:hAnsi="宋体"/>
                <w:sz w:val="24"/>
              </w:rPr>
            </w:pPr>
          </w:p>
        </w:tc>
        <w:tc>
          <w:tcPr>
            <w:tcW w:w="900" w:type="dxa"/>
            <w:vAlign w:val="center"/>
          </w:tcPr>
          <w:p w14:paraId="7D05A25E">
            <w:pPr>
              <w:adjustRightInd w:val="0"/>
              <w:snapToGrid w:val="0"/>
              <w:spacing w:line="360" w:lineRule="auto"/>
              <w:jc w:val="left"/>
              <w:rPr>
                <w:rFonts w:ascii="宋体" w:hAnsi="宋体"/>
                <w:sz w:val="24"/>
              </w:rPr>
            </w:pPr>
          </w:p>
        </w:tc>
        <w:tc>
          <w:tcPr>
            <w:tcW w:w="900" w:type="dxa"/>
            <w:vAlign w:val="center"/>
          </w:tcPr>
          <w:p w14:paraId="5C32FE70">
            <w:pPr>
              <w:adjustRightInd w:val="0"/>
              <w:snapToGrid w:val="0"/>
              <w:spacing w:line="360" w:lineRule="auto"/>
              <w:jc w:val="left"/>
              <w:rPr>
                <w:rFonts w:ascii="宋体" w:hAnsi="宋体"/>
                <w:sz w:val="24"/>
              </w:rPr>
            </w:pPr>
          </w:p>
        </w:tc>
        <w:tc>
          <w:tcPr>
            <w:tcW w:w="1082" w:type="dxa"/>
            <w:vAlign w:val="center"/>
          </w:tcPr>
          <w:p w14:paraId="2B57E621">
            <w:pPr>
              <w:adjustRightInd w:val="0"/>
              <w:snapToGrid w:val="0"/>
              <w:spacing w:line="360" w:lineRule="auto"/>
              <w:jc w:val="left"/>
              <w:rPr>
                <w:rFonts w:ascii="宋体" w:hAnsi="宋体"/>
                <w:sz w:val="24"/>
              </w:rPr>
            </w:pPr>
          </w:p>
        </w:tc>
        <w:tc>
          <w:tcPr>
            <w:tcW w:w="794" w:type="dxa"/>
            <w:vAlign w:val="center"/>
          </w:tcPr>
          <w:p w14:paraId="662458DA">
            <w:pPr>
              <w:adjustRightInd w:val="0"/>
              <w:snapToGrid w:val="0"/>
              <w:spacing w:line="360" w:lineRule="auto"/>
              <w:jc w:val="left"/>
              <w:rPr>
                <w:rFonts w:ascii="宋体" w:hAnsi="宋体"/>
                <w:sz w:val="24"/>
              </w:rPr>
            </w:pPr>
          </w:p>
        </w:tc>
        <w:tc>
          <w:tcPr>
            <w:tcW w:w="2149" w:type="dxa"/>
            <w:vAlign w:val="center"/>
          </w:tcPr>
          <w:p w14:paraId="1B718D5F">
            <w:pPr>
              <w:adjustRightInd w:val="0"/>
              <w:snapToGrid w:val="0"/>
              <w:spacing w:line="360" w:lineRule="auto"/>
              <w:jc w:val="left"/>
              <w:rPr>
                <w:rFonts w:ascii="宋体" w:hAnsi="宋体"/>
                <w:sz w:val="24"/>
              </w:rPr>
            </w:pPr>
          </w:p>
        </w:tc>
        <w:tc>
          <w:tcPr>
            <w:tcW w:w="2268" w:type="dxa"/>
            <w:vAlign w:val="center"/>
          </w:tcPr>
          <w:p w14:paraId="6E4937BF">
            <w:pPr>
              <w:adjustRightInd w:val="0"/>
              <w:snapToGrid w:val="0"/>
              <w:spacing w:line="360" w:lineRule="auto"/>
              <w:jc w:val="left"/>
              <w:rPr>
                <w:rFonts w:ascii="宋体" w:hAnsi="宋体"/>
                <w:sz w:val="24"/>
              </w:rPr>
            </w:pPr>
          </w:p>
        </w:tc>
      </w:tr>
    </w:tbl>
    <w:p w14:paraId="31DD88C1">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2B92B4D6">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14:paraId="77B8B5D4">
      <w:pPr>
        <w:widowControl/>
        <w:jc w:val="left"/>
        <w:rPr>
          <w:rFonts w:ascii="宋体" w:hAnsi="宋体"/>
          <w:sz w:val="24"/>
        </w:rPr>
      </w:pPr>
      <w:r>
        <w:rPr>
          <w:rFonts w:ascii="宋体" w:hAnsi="宋体"/>
          <w:sz w:val="24"/>
        </w:rPr>
        <w:br w:type="page"/>
      </w:r>
    </w:p>
    <w:p w14:paraId="3630410C">
      <w:pPr>
        <w:pStyle w:val="272"/>
        <w:numPr>
          <w:ilvl w:val="0"/>
          <w:numId w:val="24"/>
        </w:numPr>
        <w:tabs>
          <w:tab w:val="left" w:pos="360"/>
        </w:tabs>
        <w:snapToGrid w:val="0"/>
        <w:spacing w:line="360" w:lineRule="auto"/>
        <w:ind w:firstLineChars="0"/>
        <w:outlineLvl w:val="1"/>
        <w:rPr>
          <w:rFonts w:ascii="宋体" w:hAnsi="宋体"/>
          <w:sz w:val="24"/>
        </w:rPr>
      </w:pPr>
      <w:r>
        <w:rPr>
          <w:rFonts w:hint="eastAsia" w:ascii="宋体" w:hAnsi="宋体"/>
          <w:sz w:val="24"/>
        </w:rPr>
        <w:t>拟投入本项目主要施工人员简历表</w:t>
      </w:r>
    </w:p>
    <w:p w14:paraId="743C31E3">
      <w:pPr>
        <w:spacing w:line="360" w:lineRule="auto"/>
        <w:ind w:left="915" w:leftChars="150" w:hanging="600" w:hangingChars="250"/>
        <w:jc w:val="left"/>
        <w:rPr>
          <w:rFonts w:ascii="宋体" w:hAnsi="宋体" w:cs="宋体"/>
          <w:sz w:val="24"/>
        </w:rPr>
      </w:pPr>
    </w:p>
    <w:tbl>
      <w:tblPr>
        <w:tblStyle w:val="67"/>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835"/>
        <w:gridCol w:w="1701"/>
        <w:gridCol w:w="2126"/>
      </w:tblGrid>
      <w:tr w14:paraId="7D09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14:paraId="4452CB13">
            <w:pPr>
              <w:spacing w:line="360" w:lineRule="auto"/>
              <w:jc w:val="left"/>
              <w:rPr>
                <w:rFonts w:ascii="宋体" w:hAnsi="宋体" w:cs="宋体"/>
                <w:sz w:val="24"/>
              </w:rPr>
            </w:pPr>
            <w:r>
              <w:rPr>
                <w:rFonts w:hint="eastAsia" w:ascii="宋体" w:hAnsi="宋体" w:cs="宋体"/>
                <w:sz w:val="24"/>
              </w:rPr>
              <w:t>工作岗位名称</w:t>
            </w:r>
          </w:p>
        </w:tc>
        <w:tc>
          <w:tcPr>
            <w:tcW w:w="6662" w:type="dxa"/>
            <w:gridSpan w:val="3"/>
            <w:vAlign w:val="center"/>
          </w:tcPr>
          <w:p w14:paraId="37456A40">
            <w:pPr>
              <w:spacing w:line="360" w:lineRule="auto"/>
              <w:jc w:val="left"/>
              <w:rPr>
                <w:rFonts w:ascii="宋体" w:hAnsi="宋体" w:cs="宋体"/>
                <w:sz w:val="24"/>
              </w:rPr>
            </w:pPr>
          </w:p>
        </w:tc>
      </w:tr>
      <w:tr w14:paraId="5B33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14:paraId="7F94C3FC">
            <w:pPr>
              <w:spacing w:line="360" w:lineRule="auto"/>
              <w:jc w:val="left"/>
              <w:rPr>
                <w:rFonts w:ascii="宋体" w:hAnsi="宋体" w:cs="宋体"/>
                <w:sz w:val="24"/>
              </w:rPr>
            </w:pPr>
            <w:r>
              <w:rPr>
                <w:rFonts w:hint="eastAsia" w:ascii="宋体" w:hAnsi="宋体" w:cs="宋体"/>
                <w:sz w:val="24"/>
              </w:rPr>
              <w:t>姓     名</w:t>
            </w:r>
          </w:p>
        </w:tc>
        <w:tc>
          <w:tcPr>
            <w:tcW w:w="2835" w:type="dxa"/>
            <w:vAlign w:val="center"/>
          </w:tcPr>
          <w:p w14:paraId="092F901D">
            <w:pPr>
              <w:spacing w:line="360" w:lineRule="auto"/>
              <w:jc w:val="left"/>
              <w:rPr>
                <w:rFonts w:ascii="宋体" w:hAnsi="宋体" w:cs="宋体"/>
                <w:sz w:val="24"/>
              </w:rPr>
            </w:pPr>
          </w:p>
        </w:tc>
        <w:tc>
          <w:tcPr>
            <w:tcW w:w="1701" w:type="dxa"/>
            <w:vAlign w:val="center"/>
          </w:tcPr>
          <w:p w14:paraId="00B85BDD">
            <w:pPr>
              <w:spacing w:line="360" w:lineRule="auto"/>
              <w:jc w:val="left"/>
              <w:rPr>
                <w:rFonts w:ascii="宋体" w:hAnsi="宋体" w:cs="宋体"/>
                <w:sz w:val="24"/>
              </w:rPr>
            </w:pPr>
            <w:r>
              <w:rPr>
                <w:rFonts w:hint="eastAsia" w:ascii="宋体" w:hAnsi="宋体" w:cs="宋体"/>
                <w:sz w:val="24"/>
              </w:rPr>
              <w:t>年    龄</w:t>
            </w:r>
          </w:p>
        </w:tc>
        <w:tc>
          <w:tcPr>
            <w:tcW w:w="2126" w:type="dxa"/>
            <w:vAlign w:val="center"/>
          </w:tcPr>
          <w:p w14:paraId="3BA8F105">
            <w:pPr>
              <w:spacing w:line="360" w:lineRule="auto"/>
              <w:jc w:val="left"/>
              <w:rPr>
                <w:rFonts w:ascii="宋体" w:hAnsi="宋体" w:cs="宋体"/>
                <w:sz w:val="24"/>
              </w:rPr>
            </w:pPr>
          </w:p>
        </w:tc>
      </w:tr>
      <w:tr w14:paraId="29F6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14:paraId="5589CAB7">
            <w:pPr>
              <w:spacing w:line="360" w:lineRule="auto"/>
              <w:jc w:val="left"/>
              <w:rPr>
                <w:rFonts w:ascii="宋体" w:hAnsi="宋体" w:cs="宋体"/>
                <w:sz w:val="24"/>
              </w:rPr>
            </w:pPr>
            <w:r>
              <w:rPr>
                <w:rFonts w:hint="eastAsia" w:ascii="宋体" w:hAnsi="宋体" w:cs="宋体"/>
                <w:sz w:val="24"/>
              </w:rPr>
              <w:t>性     别</w:t>
            </w:r>
          </w:p>
        </w:tc>
        <w:tc>
          <w:tcPr>
            <w:tcW w:w="2835" w:type="dxa"/>
            <w:vAlign w:val="center"/>
          </w:tcPr>
          <w:p w14:paraId="2232BFA0">
            <w:pPr>
              <w:spacing w:line="360" w:lineRule="auto"/>
              <w:jc w:val="left"/>
              <w:rPr>
                <w:rFonts w:ascii="宋体" w:hAnsi="宋体" w:cs="宋体"/>
                <w:sz w:val="24"/>
              </w:rPr>
            </w:pPr>
          </w:p>
        </w:tc>
        <w:tc>
          <w:tcPr>
            <w:tcW w:w="1701" w:type="dxa"/>
            <w:vAlign w:val="center"/>
          </w:tcPr>
          <w:p w14:paraId="0FEE1B3E">
            <w:pPr>
              <w:spacing w:line="360" w:lineRule="auto"/>
              <w:jc w:val="left"/>
              <w:rPr>
                <w:rFonts w:ascii="宋体" w:hAnsi="宋体" w:cs="宋体"/>
                <w:sz w:val="24"/>
              </w:rPr>
            </w:pPr>
            <w:r>
              <w:rPr>
                <w:rFonts w:hint="eastAsia" w:ascii="宋体" w:hAnsi="宋体" w:cs="宋体"/>
                <w:sz w:val="24"/>
              </w:rPr>
              <w:t>毕业学校</w:t>
            </w:r>
          </w:p>
        </w:tc>
        <w:tc>
          <w:tcPr>
            <w:tcW w:w="2126" w:type="dxa"/>
            <w:vAlign w:val="center"/>
          </w:tcPr>
          <w:p w14:paraId="3C97E341">
            <w:pPr>
              <w:spacing w:line="360" w:lineRule="auto"/>
              <w:jc w:val="left"/>
              <w:rPr>
                <w:rFonts w:ascii="宋体" w:hAnsi="宋体" w:cs="宋体"/>
                <w:sz w:val="24"/>
              </w:rPr>
            </w:pPr>
          </w:p>
        </w:tc>
      </w:tr>
      <w:tr w14:paraId="3948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14:paraId="5E0E5B66">
            <w:pPr>
              <w:spacing w:line="360" w:lineRule="auto"/>
              <w:jc w:val="left"/>
              <w:rPr>
                <w:rFonts w:ascii="宋体" w:hAnsi="宋体" w:cs="宋体"/>
                <w:sz w:val="24"/>
              </w:rPr>
            </w:pPr>
            <w:r>
              <w:rPr>
                <w:rFonts w:hint="eastAsia" w:ascii="宋体" w:hAnsi="宋体" w:cs="宋体"/>
                <w:sz w:val="24"/>
              </w:rPr>
              <w:t>学历和专业</w:t>
            </w:r>
          </w:p>
        </w:tc>
        <w:tc>
          <w:tcPr>
            <w:tcW w:w="2835" w:type="dxa"/>
            <w:vAlign w:val="center"/>
          </w:tcPr>
          <w:p w14:paraId="67D548D2">
            <w:pPr>
              <w:spacing w:line="360" w:lineRule="auto"/>
              <w:jc w:val="left"/>
              <w:rPr>
                <w:rFonts w:ascii="宋体" w:hAnsi="宋体" w:cs="宋体"/>
                <w:sz w:val="24"/>
              </w:rPr>
            </w:pPr>
          </w:p>
        </w:tc>
        <w:tc>
          <w:tcPr>
            <w:tcW w:w="1701" w:type="dxa"/>
            <w:vAlign w:val="center"/>
          </w:tcPr>
          <w:p w14:paraId="7C578849">
            <w:pPr>
              <w:spacing w:line="360" w:lineRule="auto"/>
              <w:jc w:val="left"/>
              <w:rPr>
                <w:rFonts w:ascii="宋体" w:hAnsi="宋体" w:cs="宋体"/>
                <w:sz w:val="24"/>
              </w:rPr>
            </w:pPr>
            <w:r>
              <w:rPr>
                <w:rFonts w:hint="eastAsia" w:ascii="宋体" w:hAnsi="宋体" w:cs="宋体"/>
                <w:sz w:val="24"/>
              </w:rPr>
              <w:t>毕业时间</w:t>
            </w:r>
          </w:p>
        </w:tc>
        <w:tc>
          <w:tcPr>
            <w:tcW w:w="2126" w:type="dxa"/>
            <w:vAlign w:val="center"/>
          </w:tcPr>
          <w:p w14:paraId="45145D38">
            <w:pPr>
              <w:spacing w:line="360" w:lineRule="auto"/>
              <w:jc w:val="left"/>
              <w:rPr>
                <w:rFonts w:ascii="宋体" w:hAnsi="宋体" w:cs="宋体"/>
                <w:sz w:val="24"/>
              </w:rPr>
            </w:pPr>
          </w:p>
        </w:tc>
      </w:tr>
      <w:tr w14:paraId="1846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14:paraId="3FD97C70">
            <w:pPr>
              <w:spacing w:line="360" w:lineRule="auto"/>
              <w:jc w:val="left"/>
              <w:rPr>
                <w:rFonts w:ascii="宋体" w:hAnsi="宋体" w:cs="宋体"/>
                <w:sz w:val="24"/>
              </w:rPr>
            </w:pPr>
            <w:r>
              <w:rPr>
                <w:rFonts w:hint="eastAsia" w:ascii="宋体" w:hAnsi="宋体" w:cs="宋体"/>
                <w:sz w:val="24"/>
              </w:rPr>
              <w:t>执业资格</w:t>
            </w:r>
          </w:p>
        </w:tc>
        <w:tc>
          <w:tcPr>
            <w:tcW w:w="2835" w:type="dxa"/>
            <w:vAlign w:val="center"/>
          </w:tcPr>
          <w:p w14:paraId="1587B546">
            <w:pPr>
              <w:spacing w:line="360" w:lineRule="auto"/>
              <w:jc w:val="left"/>
              <w:rPr>
                <w:rFonts w:ascii="宋体" w:hAnsi="宋体" w:cs="宋体"/>
                <w:sz w:val="24"/>
              </w:rPr>
            </w:pPr>
          </w:p>
        </w:tc>
        <w:tc>
          <w:tcPr>
            <w:tcW w:w="1701" w:type="dxa"/>
            <w:vAlign w:val="center"/>
          </w:tcPr>
          <w:p w14:paraId="1241F714">
            <w:pPr>
              <w:spacing w:line="360" w:lineRule="auto"/>
              <w:jc w:val="left"/>
              <w:rPr>
                <w:rFonts w:ascii="宋体" w:hAnsi="宋体" w:cs="宋体"/>
                <w:sz w:val="24"/>
              </w:rPr>
            </w:pPr>
            <w:r>
              <w:rPr>
                <w:rFonts w:hint="eastAsia" w:ascii="宋体" w:hAnsi="宋体" w:cs="宋体"/>
                <w:sz w:val="24"/>
              </w:rPr>
              <w:t>专业职称</w:t>
            </w:r>
          </w:p>
        </w:tc>
        <w:tc>
          <w:tcPr>
            <w:tcW w:w="2126" w:type="dxa"/>
            <w:vAlign w:val="center"/>
          </w:tcPr>
          <w:p w14:paraId="07B07A09">
            <w:pPr>
              <w:spacing w:line="360" w:lineRule="auto"/>
              <w:jc w:val="left"/>
              <w:rPr>
                <w:rFonts w:ascii="宋体" w:hAnsi="宋体" w:cs="宋体"/>
                <w:sz w:val="24"/>
              </w:rPr>
            </w:pPr>
          </w:p>
        </w:tc>
      </w:tr>
      <w:tr w14:paraId="0A39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14:paraId="5C3DD31F">
            <w:pPr>
              <w:spacing w:line="360" w:lineRule="auto"/>
              <w:jc w:val="left"/>
              <w:rPr>
                <w:rFonts w:ascii="宋体" w:hAnsi="宋体" w:cs="宋体"/>
                <w:sz w:val="24"/>
              </w:rPr>
            </w:pPr>
            <w:r>
              <w:rPr>
                <w:rFonts w:hint="eastAsia" w:ascii="宋体" w:hAnsi="宋体" w:cs="宋体"/>
                <w:sz w:val="24"/>
              </w:rPr>
              <w:t>执业资格证书编号</w:t>
            </w:r>
          </w:p>
        </w:tc>
        <w:tc>
          <w:tcPr>
            <w:tcW w:w="2835" w:type="dxa"/>
            <w:vAlign w:val="center"/>
          </w:tcPr>
          <w:p w14:paraId="4AD93190">
            <w:pPr>
              <w:spacing w:line="360" w:lineRule="auto"/>
              <w:jc w:val="left"/>
              <w:rPr>
                <w:rFonts w:ascii="宋体" w:hAnsi="宋体" w:cs="宋体"/>
                <w:sz w:val="24"/>
              </w:rPr>
            </w:pPr>
          </w:p>
        </w:tc>
        <w:tc>
          <w:tcPr>
            <w:tcW w:w="1701" w:type="dxa"/>
            <w:vAlign w:val="center"/>
          </w:tcPr>
          <w:p w14:paraId="094F5155">
            <w:pPr>
              <w:spacing w:line="360" w:lineRule="auto"/>
              <w:jc w:val="left"/>
              <w:rPr>
                <w:rFonts w:ascii="宋体" w:hAnsi="宋体" w:cs="宋体"/>
                <w:sz w:val="24"/>
              </w:rPr>
            </w:pPr>
            <w:r>
              <w:rPr>
                <w:rFonts w:hint="eastAsia" w:ascii="宋体" w:hAnsi="宋体" w:cs="宋体"/>
                <w:sz w:val="24"/>
              </w:rPr>
              <w:t>工作年限</w:t>
            </w:r>
          </w:p>
        </w:tc>
        <w:tc>
          <w:tcPr>
            <w:tcW w:w="2126" w:type="dxa"/>
            <w:vAlign w:val="center"/>
          </w:tcPr>
          <w:p w14:paraId="42EFF28F">
            <w:pPr>
              <w:spacing w:line="360" w:lineRule="auto"/>
              <w:jc w:val="left"/>
              <w:rPr>
                <w:rFonts w:ascii="宋体" w:hAnsi="宋体" w:cs="宋体"/>
                <w:sz w:val="24"/>
              </w:rPr>
            </w:pPr>
          </w:p>
        </w:tc>
      </w:tr>
      <w:tr w14:paraId="6529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647" w:type="dxa"/>
            <w:gridSpan w:val="4"/>
            <w:vAlign w:val="center"/>
          </w:tcPr>
          <w:p w14:paraId="50519761">
            <w:pPr>
              <w:spacing w:line="360" w:lineRule="auto"/>
              <w:jc w:val="left"/>
              <w:rPr>
                <w:rFonts w:ascii="宋体" w:hAnsi="宋体" w:cs="宋体"/>
                <w:sz w:val="24"/>
              </w:rPr>
            </w:pPr>
            <w:r>
              <w:rPr>
                <w:rFonts w:hint="eastAsia" w:ascii="宋体" w:hAnsi="宋体" w:cs="宋体"/>
                <w:sz w:val="24"/>
              </w:rPr>
              <w:t>主要工作业绩</w:t>
            </w:r>
          </w:p>
        </w:tc>
      </w:tr>
      <w:tr w14:paraId="4045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85" w:type="dxa"/>
            <w:vAlign w:val="center"/>
          </w:tcPr>
          <w:p w14:paraId="7CE5B86A">
            <w:pPr>
              <w:spacing w:line="360" w:lineRule="auto"/>
              <w:jc w:val="left"/>
              <w:rPr>
                <w:rFonts w:ascii="宋体" w:hAnsi="宋体" w:cs="宋体"/>
                <w:sz w:val="24"/>
              </w:rPr>
            </w:pPr>
            <w:r>
              <w:rPr>
                <w:rFonts w:hint="eastAsia" w:ascii="宋体" w:hAnsi="宋体" w:cs="宋体"/>
                <w:sz w:val="24"/>
              </w:rPr>
              <w:t>时  间</w:t>
            </w:r>
          </w:p>
        </w:tc>
        <w:tc>
          <w:tcPr>
            <w:tcW w:w="2835" w:type="dxa"/>
            <w:vAlign w:val="center"/>
          </w:tcPr>
          <w:p w14:paraId="13E0ACC7">
            <w:pPr>
              <w:spacing w:line="360" w:lineRule="auto"/>
              <w:jc w:val="left"/>
              <w:rPr>
                <w:rFonts w:ascii="宋体" w:hAnsi="宋体" w:cs="宋体"/>
                <w:sz w:val="24"/>
              </w:rPr>
            </w:pPr>
            <w:r>
              <w:rPr>
                <w:rFonts w:hint="eastAsia" w:ascii="宋体" w:hAnsi="宋体" w:cs="宋体"/>
                <w:sz w:val="24"/>
              </w:rPr>
              <w:t>参加过的类似工程名称</w:t>
            </w:r>
          </w:p>
        </w:tc>
        <w:tc>
          <w:tcPr>
            <w:tcW w:w="1701" w:type="dxa"/>
            <w:vAlign w:val="center"/>
          </w:tcPr>
          <w:p w14:paraId="2D5101EC">
            <w:pPr>
              <w:spacing w:line="360" w:lineRule="auto"/>
              <w:jc w:val="left"/>
              <w:rPr>
                <w:rFonts w:ascii="宋体" w:hAnsi="宋体" w:cs="宋体"/>
                <w:sz w:val="24"/>
              </w:rPr>
            </w:pPr>
            <w:r>
              <w:rPr>
                <w:rFonts w:hint="eastAsia" w:ascii="宋体" w:hAnsi="宋体" w:cs="宋体"/>
                <w:sz w:val="24"/>
              </w:rPr>
              <w:t>工程概况说明</w:t>
            </w:r>
          </w:p>
        </w:tc>
        <w:tc>
          <w:tcPr>
            <w:tcW w:w="2126" w:type="dxa"/>
            <w:vAlign w:val="center"/>
          </w:tcPr>
          <w:p w14:paraId="17C373FB">
            <w:pPr>
              <w:spacing w:line="360" w:lineRule="auto"/>
              <w:jc w:val="left"/>
              <w:rPr>
                <w:rFonts w:ascii="宋体" w:hAnsi="宋体" w:cs="宋体"/>
                <w:sz w:val="24"/>
              </w:rPr>
            </w:pPr>
            <w:r>
              <w:rPr>
                <w:rFonts w:hint="eastAsia" w:ascii="宋体" w:hAnsi="宋体" w:cs="宋体"/>
                <w:sz w:val="24"/>
              </w:rPr>
              <w:t>发包人及联系电话</w:t>
            </w:r>
          </w:p>
        </w:tc>
      </w:tr>
      <w:tr w14:paraId="16C0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14:paraId="3A1BCCDB">
            <w:pPr>
              <w:spacing w:line="360" w:lineRule="auto"/>
              <w:jc w:val="left"/>
              <w:rPr>
                <w:rFonts w:ascii="宋体" w:hAnsi="宋体" w:cs="宋体"/>
                <w:sz w:val="24"/>
              </w:rPr>
            </w:pPr>
          </w:p>
        </w:tc>
        <w:tc>
          <w:tcPr>
            <w:tcW w:w="2835" w:type="dxa"/>
            <w:vAlign w:val="center"/>
          </w:tcPr>
          <w:p w14:paraId="578EB244">
            <w:pPr>
              <w:spacing w:line="360" w:lineRule="auto"/>
              <w:jc w:val="left"/>
              <w:rPr>
                <w:rFonts w:ascii="宋体" w:hAnsi="宋体" w:cs="宋体"/>
                <w:sz w:val="24"/>
              </w:rPr>
            </w:pPr>
          </w:p>
        </w:tc>
        <w:tc>
          <w:tcPr>
            <w:tcW w:w="1701" w:type="dxa"/>
            <w:vAlign w:val="center"/>
          </w:tcPr>
          <w:p w14:paraId="1859CA33">
            <w:pPr>
              <w:spacing w:line="360" w:lineRule="auto"/>
              <w:jc w:val="left"/>
              <w:rPr>
                <w:rFonts w:ascii="宋体" w:hAnsi="宋体" w:cs="宋体"/>
                <w:sz w:val="24"/>
              </w:rPr>
            </w:pPr>
          </w:p>
        </w:tc>
        <w:tc>
          <w:tcPr>
            <w:tcW w:w="2126" w:type="dxa"/>
            <w:vAlign w:val="center"/>
          </w:tcPr>
          <w:p w14:paraId="47AEC4CB">
            <w:pPr>
              <w:spacing w:line="360" w:lineRule="auto"/>
              <w:jc w:val="left"/>
              <w:rPr>
                <w:rFonts w:ascii="宋体" w:hAnsi="宋体" w:cs="宋体"/>
                <w:sz w:val="24"/>
              </w:rPr>
            </w:pPr>
          </w:p>
        </w:tc>
      </w:tr>
      <w:tr w14:paraId="4D37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14:paraId="70B1E4E9">
            <w:pPr>
              <w:spacing w:line="360" w:lineRule="auto"/>
              <w:jc w:val="left"/>
              <w:rPr>
                <w:rFonts w:ascii="宋体" w:hAnsi="宋体" w:cs="宋体"/>
                <w:sz w:val="24"/>
              </w:rPr>
            </w:pPr>
          </w:p>
        </w:tc>
        <w:tc>
          <w:tcPr>
            <w:tcW w:w="2835" w:type="dxa"/>
            <w:vAlign w:val="center"/>
          </w:tcPr>
          <w:p w14:paraId="73A7C2D1">
            <w:pPr>
              <w:spacing w:line="360" w:lineRule="auto"/>
              <w:jc w:val="left"/>
              <w:rPr>
                <w:rFonts w:ascii="宋体" w:hAnsi="宋体" w:cs="宋体"/>
                <w:sz w:val="24"/>
              </w:rPr>
            </w:pPr>
          </w:p>
        </w:tc>
        <w:tc>
          <w:tcPr>
            <w:tcW w:w="1701" w:type="dxa"/>
            <w:vAlign w:val="center"/>
          </w:tcPr>
          <w:p w14:paraId="05E9B5A7">
            <w:pPr>
              <w:spacing w:line="360" w:lineRule="auto"/>
              <w:jc w:val="left"/>
              <w:rPr>
                <w:rFonts w:ascii="宋体" w:hAnsi="宋体" w:cs="宋体"/>
                <w:sz w:val="24"/>
              </w:rPr>
            </w:pPr>
          </w:p>
        </w:tc>
        <w:tc>
          <w:tcPr>
            <w:tcW w:w="2126" w:type="dxa"/>
            <w:vAlign w:val="center"/>
          </w:tcPr>
          <w:p w14:paraId="71EA8688">
            <w:pPr>
              <w:spacing w:line="360" w:lineRule="auto"/>
              <w:jc w:val="left"/>
              <w:rPr>
                <w:rFonts w:ascii="宋体" w:hAnsi="宋体" w:cs="宋体"/>
                <w:sz w:val="24"/>
              </w:rPr>
            </w:pPr>
          </w:p>
        </w:tc>
      </w:tr>
    </w:tbl>
    <w:p w14:paraId="05FBAC79">
      <w:pPr>
        <w:spacing w:line="360" w:lineRule="auto"/>
        <w:ind w:left="915" w:leftChars="150" w:hanging="600" w:hangingChars="250"/>
        <w:jc w:val="left"/>
        <w:rPr>
          <w:rFonts w:ascii="宋体" w:hAnsi="宋体" w:cs="宋体"/>
          <w:sz w:val="24"/>
        </w:rPr>
      </w:pPr>
    </w:p>
    <w:p w14:paraId="2314461F">
      <w:pPr>
        <w:spacing w:line="360" w:lineRule="auto"/>
        <w:rPr>
          <w:rFonts w:ascii="宋体" w:hAnsi="宋体" w:cs="宋体"/>
          <w:sz w:val="24"/>
        </w:rPr>
      </w:pPr>
      <w:r>
        <w:rPr>
          <w:rFonts w:hint="eastAsia" w:ascii="宋体" w:hAnsi="宋体" w:cs="宋体"/>
          <w:sz w:val="24"/>
        </w:rPr>
        <w:t>备注：1）项目经理应附建造师执业资格证书、注册证书、安全生产考核合格证书（B本）、身份证、职称证、学历证、养老保险复印件（加盖公章），进京备案证明（若为外地企业）、</w:t>
      </w:r>
      <w:r>
        <w:rPr>
          <w:rFonts w:hint="eastAsia" w:ascii="宋体" w:hAnsi="宋体" w:cs="宋体"/>
          <w:b/>
          <w:bCs/>
          <w:sz w:val="24"/>
        </w:rPr>
        <w:t>工作年限（以企业出具的加盖公章的证明为准）</w:t>
      </w:r>
      <w:r>
        <w:rPr>
          <w:rFonts w:hint="eastAsia" w:ascii="宋体" w:hAnsi="宋体" w:cs="宋体"/>
          <w:sz w:val="24"/>
        </w:rPr>
        <w:t>。其他项目管理人员需附身份证、职称证（如有）、学历证、养老保险复印件。</w:t>
      </w:r>
    </w:p>
    <w:p w14:paraId="5EAE9AAF">
      <w:pPr>
        <w:pStyle w:val="2"/>
        <w:ind w:left="0" w:firstLine="720" w:firstLineChars="300"/>
      </w:pPr>
      <w:r>
        <w:rPr>
          <w:rFonts w:hint="eastAsia"/>
        </w:rPr>
        <w:t>2）每位人员分别填写本表。</w:t>
      </w:r>
    </w:p>
    <w:p w14:paraId="5BD2D486">
      <w:pPr>
        <w:tabs>
          <w:tab w:val="left" w:pos="360"/>
        </w:tabs>
        <w:snapToGrid w:val="0"/>
        <w:spacing w:line="360" w:lineRule="auto"/>
        <w:rPr>
          <w:rFonts w:ascii="宋体" w:hAnsi="宋体"/>
          <w:sz w:val="24"/>
        </w:rPr>
      </w:pPr>
    </w:p>
    <w:p w14:paraId="10026E3E">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484BFFB0">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14:paraId="422FFA89">
      <w:pPr>
        <w:tabs>
          <w:tab w:val="left" w:pos="360"/>
        </w:tabs>
        <w:snapToGrid w:val="0"/>
        <w:spacing w:line="360" w:lineRule="auto"/>
        <w:rPr>
          <w:rFonts w:ascii="宋体" w:hAnsi="宋体"/>
          <w:sz w:val="24"/>
        </w:rPr>
      </w:pPr>
    </w:p>
    <w:p w14:paraId="45AB3C26">
      <w:pPr>
        <w:widowControl/>
        <w:jc w:val="left"/>
        <w:rPr>
          <w:rFonts w:ascii="宋体" w:hAnsi="宋体"/>
          <w:sz w:val="24"/>
        </w:rPr>
      </w:pPr>
      <w:r>
        <w:rPr>
          <w:rFonts w:ascii="宋体" w:hAnsi="宋体"/>
          <w:sz w:val="24"/>
        </w:rPr>
        <w:br w:type="page"/>
      </w:r>
    </w:p>
    <w:p w14:paraId="678FDC14">
      <w:pPr>
        <w:pStyle w:val="272"/>
        <w:numPr>
          <w:ilvl w:val="0"/>
          <w:numId w:val="24"/>
        </w:numPr>
        <w:tabs>
          <w:tab w:val="left" w:pos="360"/>
        </w:tabs>
        <w:snapToGrid w:val="0"/>
        <w:spacing w:line="360" w:lineRule="auto"/>
        <w:ind w:firstLineChars="0"/>
        <w:outlineLvl w:val="1"/>
        <w:rPr>
          <w:rFonts w:ascii="宋体" w:hAnsi="宋体"/>
          <w:sz w:val="24"/>
        </w:rPr>
      </w:pPr>
      <w:r>
        <w:rPr>
          <w:rFonts w:hint="eastAsia" w:ascii="宋体" w:hAnsi="宋体"/>
          <w:sz w:val="24"/>
        </w:rPr>
        <w:t>近三年类似业绩</w:t>
      </w:r>
    </w:p>
    <w:tbl>
      <w:tblPr>
        <w:tblStyle w:val="6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96"/>
        <w:gridCol w:w="1470"/>
        <w:gridCol w:w="2642"/>
      </w:tblGrid>
      <w:tr w14:paraId="3926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0" w:type="dxa"/>
            <w:vAlign w:val="center"/>
          </w:tcPr>
          <w:p w14:paraId="14FAD7D7">
            <w:pPr>
              <w:spacing w:line="360" w:lineRule="auto"/>
              <w:jc w:val="left"/>
              <w:rPr>
                <w:rFonts w:ascii="宋体" w:hAnsi="宋体" w:cs="宋体"/>
                <w:sz w:val="24"/>
              </w:rPr>
            </w:pPr>
            <w:r>
              <w:rPr>
                <w:rFonts w:hint="eastAsia" w:ascii="宋体" w:hAnsi="宋体" w:cs="宋体"/>
                <w:sz w:val="24"/>
              </w:rPr>
              <w:t>工程名称</w:t>
            </w:r>
          </w:p>
        </w:tc>
        <w:tc>
          <w:tcPr>
            <w:tcW w:w="6408" w:type="dxa"/>
            <w:gridSpan w:val="3"/>
          </w:tcPr>
          <w:p w14:paraId="76370E25">
            <w:pPr>
              <w:spacing w:line="360" w:lineRule="auto"/>
              <w:jc w:val="left"/>
              <w:rPr>
                <w:rFonts w:ascii="宋体" w:hAnsi="宋体" w:cs="宋体"/>
                <w:sz w:val="24"/>
              </w:rPr>
            </w:pPr>
            <w:r>
              <w:rPr>
                <w:rFonts w:hint="eastAsia" w:ascii="宋体" w:hAnsi="宋体" w:cs="宋体"/>
                <w:sz w:val="24"/>
              </w:rPr>
              <w:t xml:space="preserve">                   </w:t>
            </w:r>
          </w:p>
        </w:tc>
      </w:tr>
      <w:tr w14:paraId="67C2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0" w:type="dxa"/>
            <w:vAlign w:val="center"/>
          </w:tcPr>
          <w:p w14:paraId="1AD77FE6">
            <w:pPr>
              <w:spacing w:line="360" w:lineRule="auto"/>
              <w:jc w:val="left"/>
              <w:rPr>
                <w:rFonts w:ascii="宋体" w:hAnsi="宋体" w:cs="宋体"/>
                <w:sz w:val="24"/>
              </w:rPr>
            </w:pPr>
            <w:r>
              <w:rPr>
                <w:rFonts w:hint="eastAsia" w:ascii="宋体" w:hAnsi="宋体" w:cs="宋体"/>
                <w:sz w:val="24"/>
              </w:rPr>
              <w:t>工程所在地</w:t>
            </w:r>
          </w:p>
        </w:tc>
        <w:tc>
          <w:tcPr>
            <w:tcW w:w="6408" w:type="dxa"/>
            <w:gridSpan w:val="3"/>
          </w:tcPr>
          <w:p w14:paraId="585248DC">
            <w:pPr>
              <w:spacing w:line="360" w:lineRule="auto"/>
              <w:jc w:val="left"/>
              <w:rPr>
                <w:rFonts w:ascii="宋体" w:hAnsi="宋体" w:cs="宋体"/>
                <w:sz w:val="24"/>
              </w:rPr>
            </w:pPr>
          </w:p>
        </w:tc>
      </w:tr>
      <w:tr w14:paraId="1491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0" w:type="dxa"/>
            <w:vAlign w:val="center"/>
          </w:tcPr>
          <w:p w14:paraId="190D2EB4">
            <w:pPr>
              <w:spacing w:line="360" w:lineRule="auto"/>
              <w:jc w:val="left"/>
              <w:rPr>
                <w:rFonts w:ascii="宋体" w:hAnsi="宋体" w:cs="宋体"/>
                <w:sz w:val="24"/>
              </w:rPr>
            </w:pPr>
            <w:r>
              <w:rPr>
                <w:rFonts w:hint="eastAsia" w:ascii="宋体" w:hAnsi="宋体" w:cs="宋体"/>
                <w:sz w:val="24"/>
              </w:rPr>
              <w:t>发包人名称</w:t>
            </w:r>
          </w:p>
        </w:tc>
        <w:tc>
          <w:tcPr>
            <w:tcW w:w="6408" w:type="dxa"/>
            <w:gridSpan w:val="3"/>
          </w:tcPr>
          <w:p w14:paraId="29C563C4">
            <w:pPr>
              <w:spacing w:line="360" w:lineRule="auto"/>
              <w:jc w:val="left"/>
              <w:rPr>
                <w:rFonts w:ascii="宋体" w:hAnsi="宋体" w:cs="宋体"/>
                <w:sz w:val="24"/>
              </w:rPr>
            </w:pPr>
          </w:p>
        </w:tc>
      </w:tr>
      <w:tr w14:paraId="0F8B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0" w:type="dxa"/>
            <w:vAlign w:val="center"/>
          </w:tcPr>
          <w:p w14:paraId="20BC09DE">
            <w:pPr>
              <w:spacing w:line="360" w:lineRule="auto"/>
              <w:jc w:val="left"/>
              <w:rPr>
                <w:rFonts w:ascii="宋体" w:hAnsi="宋体" w:cs="宋体"/>
                <w:sz w:val="24"/>
              </w:rPr>
            </w:pPr>
            <w:r>
              <w:rPr>
                <w:rFonts w:hint="eastAsia" w:ascii="宋体" w:hAnsi="宋体" w:cs="宋体"/>
                <w:sz w:val="24"/>
              </w:rPr>
              <w:t>发包人地址</w:t>
            </w:r>
          </w:p>
        </w:tc>
        <w:tc>
          <w:tcPr>
            <w:tcW w:w="6408" w:type="dxa"/>
            <w:gridSpan w:val="3"/>
          </w:tcPr>
          <w:p w14:paraId="68D35C5E">
            <w:pPr>
              <w:spacing w:line="360" w:lineRule="auto"/>
              <w:jc w:val="left"/>
              <w:rPr>
                <w:rFonts w:ascii="宋体" w:hAnsi="宋体" w:cs="宋体"/>
                <w:sz w:val="24"/>
              </w:rPr>
            </w:pPr>
          </w:p>
        </w:tc>
      </w:tr>
      <w:tr w14:paraId="36D1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0" w:type="dxa"/>
            <w:vAlign w:val="center"/>
          </w:tcPr>
          <w:p w14:paraId="7362A767">
            <w:pPr>
              <w:spacing w:line="360" w:lineRule="auto"/>
              <w:jc w:val="left"/>
              <w:rPr>
                <w:rFonts w:ascii="宋体" w:hAnsi="宋体" w:cs="宋体"/>
                <w:sz w:val="24"/>
              </w:rPr>
            </w:pPr>
            <w:r>
              <w:rPr>
                <w:rFonts w:hint="eastAsia" w:ascii="宋体" w:hAnsi="宋体" w:cs="宋体"/>
                <w:sz w:val="24"/>
              </w:rPr>
              <w:t>发包人联系人</w:t>
            </w:r>
          </w:p>
        </w:tc>
        <w:tc>
          <w:tcPr>
            <w:tcW w:w="2296" w:type="dxa"/>
          </w:tcPr>
          <w:p w14:paraId="2ABD11C8">
            <w:pPr>
              <w:spacing w:line="360" w:lineRule="auto"/>
              <w:jc w:val="left"/>
              <w:rPr>
                <w:rFonts w:ascii="宋体" w:hAnsi="宋体" w:cs="宋体"/>
                <w:sz w:val="24"/>
              </w:rPr>
            </w:pPr>
          </w:p>
        </w:tc>
        <w:tc>
          <w:tcPr>
            <w:tcW w:w="1470" w:type="dxa"/>
          </w:tcPr>
          <w:p w14:paraId="325FE6C5">
            <w:pPr>
              <w:spacing w:line="360" w:lineRule="auto"/>
              <w:jc w:val="left"/>
              <w:rPr>
                <w:rFonts w:ascii="宋体" w:hAnsi="宋体" w:cs="宋体"/>
                <w:sz w:val="24"/>
              </w:rPr>
            </w:pPr>
            <w:r>
              <w:rPr>
                <w:rFonts w:hint="eastAsia" w:ascii="宋体" w:hAnsi="宋体" w:cs="宋体"/>
                <w:sz w:val="24"/>
              </w:rPr>
              <w:t>联系电话</w:t>
            </w:r>
          </w:p>
        </w:tc>
        <w:tc>
          <w:tcPr>
            <w:tcW w:w="2642" w:type="dxa"/>
          </w:tcPr>
          <w:p w14:paraId="2424E77D">
            <w:pPr>
              <w:spacing w:line="360" w:lineRule="auto"/>
              <w:jc w:val="left"/>
              <w:rPr>
                <w:rFonts w:ascii="宋体" w:hAnsi="宋体" w:cs="宋体"/>
                <w:sz w:val="24"/>
              </w:rPr>
            </w:pPr>
          </w:p>
        </w:tc>
      </w:tr>
      <w:tr w14:paraId="135C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0" w:type="dxa"/>
            <w:vAlign w:val="center"/>
          </w:tcPr>
          <w:p w14:paraId="1AF60E2C">
            <w:pPr>
              <w:spacing w:line="360" w:lineRule="auto"/>
              <w:jc w:val="left"/>
              <w:rPr>
                <w:rFonts w:ascii="宋体" w:hAnsi="宋体" w:cs="宋体"/>
                <w:sz w:val="24"/>
              </w:rPr>
            </w:pPr>
            <w:r>
              <w:rPr>
                <w:rFonts w:hint="eastAsia" w:ascii="宋体" w:hAnsi="宋体" w:cs="宋体"/>
                <w:sz w:val="24"/>
              </w:rPr>
              <w:t>签约合同价</w:t>
            </w:r>
          </w:p>
        </w:tc>
        <w:tc>
          <w:tcPr>
            <w:tcW w:w="6408" w:type="dxa"/>
            <w:gridSpan w:val="3"/>
          </w:tcPr>
          <w:p w14:paraId="6C8A5E9C">
            <w:pPr>
              <w:spacing w:line="360" w:lineRule="auto"/>
              <w:jc w:val="left"/>
              <w:rPr>
                <w:rFonts w:ascii="宋体" w:hAnsi="宋体" w:cs="宋体"/>
                <w:sz w:val="24"/>
              </w:rPr>
            </w:pPr>
          </w:p>
        </w:tc>
      </w:tr>
      <w:tr w14:paraId="6864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0" w:type="dxa"/>
            <w:vAlign w:val="center"/>
          </w:tcPr>
          <w:p w14:paraId="5F0578AD">
            <w:pPr>
              <w:spacing w:line="360" w:lineRule="auto"/>
              <w:jc w:val="left"/>
              <w:rPr>
                <w:rFonts w:ascii="宋体" w:hAnsi="宋体" w:cs="宋体"/>
                <w:sz w:val="24"/>
              </w:rPr>
            </w:pPr>
            <w:r>
              <w:rPr>
                <w:rFonts w:hint="eastAsia" w:ascii="宋体" w:hAnsi="宋体" w:cs="宋体"/>
                <w:sz w:val="24"/>
              </w:rPr>
              <w:t>开工日期</w:t>
            </w:r>
          </w:p>
        </w:tc>
        <w:tc>
          <w:tcPr>
            <w:tcW w:w="6408" w:type="dxa"/>
            <w:gridSpan w:val="3"/>
          </w:tcPr>
          <w:p w14:paraId="6FF36B32">
            <w:pPr>
              <w:spacing w:line="360" w:lineRule="auto"/>
              <w:jc w:val="left"/>
              <w:rPr>
                <w:rFonts w:ascii="宋体" w:hAnsi="宋体" w:cs="宋体"/>
                <w:sz w:val="24"/>
              </w:rPr>
            </w:pPr>
          </w:p>
        </w:tc>
      </w:tr>
      <w:tr w14:paraId="6050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0" w:type="dxa"/>
            <w:vAlign w:val="center"/>
          </w:tcPr>
          <w:p w14:paraId="6E10E8E0">
            <w:pPr>
              <w:spacing w:line="360" w:lineRule="auto"/>
              <w:jc w:val="left"/>
              <w:rPr>
                <w:rFonts w:ascii="宋体" w:hAnsi="宋体" w:cs="宋体"/>
                <w:sz w:val="24"/>
              </w:rPr>
            </w:pPr>
            <w:r>
              <w:rPr>
                <w:rFonts w:hint="eastAsia" w:ascii="宋体" w:hAnsi="宋体" w:cs="宋体"/>
                <w:sz w:val="24"/>
              </w:rPr>
              <w:t>计划竣工日期</w:t>
            </w:r>
          </w:p>
        </w:tc>
        <w:tc>
          <w:tcPr>
            <w:tcW w:w="6408" w:type="dxa"/>
            <w:gridSpan w:val="3"/>
          </w:tcPr>
          <w:p w14:paraId="19C2C6C6">
            <w:pPr>
              <w:spacing w:line="360" w:lineRule="auto"/>
              <w:jc w:val="left"/>
              <w:rPr>
                <w:rFonts w:ascii="宋体" w:hAnsi="宋体" w:cs="宋体"/>
                <w:sz w:val="24"/>
              </w:rPr>
            </w:pPr>
          </w:p>
        </w:tc>
      </w:tr>
      <w:tr w14:paraId="6ABF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20" w:type="dxa"/>
            <w:vAlign w:val="center"/>
          </w:tcPr>
          <w:p w14:paraId="04D5D386">
            <w:pPr>
              <w:spacing w:line="360" w:lineRule="auto"/>
              <w:jc w:val="left"/>
              <w:rPr>
                <w:rFonts w:ascii="宋体" w:hAnsi="宋体" w:cs="宋体"/>
                <w:sz w:val="24"/>
              </w:rPr>
            </w:pPr>
            <w:r>
              <w:rPr>
                <w:rFonts w:hint="eastAsia" w:ascii="宋体" w:hAnsi="宋体" w:cs="宋体"/>
                <w:sz w:val="24"/>
              </w:rPr>
              <w:t>承担的工作</w:t>
            </w:r>
          </w:p>
        </w:tc>
        <w:tc>
          <w:tcPr>
            <w:tcW w:w="6408" w:type="dxa"/>
            <w:gridSpan w:val="3"/>
          </w:tcPr>
          <w:p w14:paraId="1A207899">
            <w:pPr>
              <w:spacing w:line="360" w:lineRule="auto"/>
              <w:jc w:val="left"/>
              <w:rPr>
                <w:rFonts w:ascii="宋体" w:hAnsi="宋体" w:cs="宋体"/>
                <w:sz w:val="24"/>
              </w:rPr>
            </w:pPr>
          </w:p>
        </w:tc>
      </w:tr>
      <w:tr w14:paraId="7DB2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0" w:type="dxa"/>
            <w:vAlign w:val="center"/>
          </w:tcPr>
          <w:p w14:paraId="48DC7981">
            <w:pPr>
              <w:spacing w:line="360" w:lineRule="auto"/>
              <w:jc w:val="left"/>
              <w:rPr>
                <w:rFonts w:ascii="宋体" w:hAnsi="宋体" w:cs="宋体"/>
                <w:sz w:val="24"/>
              </w:rPr>
            </w:pPr>
            <w:r>
              <w:rPr>
                <w:rFonts w:hint="eastAsia" w:ascii="宋体" w:hAnsi="宋体" w:cs="宋体"/>
                <w:sz w:val="24"/>
              </w:rPr>
              <w:t>工程质量</w:t>
            </w:r>
          </w:p>
        </w:tc>
        <w:tc>
          <w:tcPr>
            <w:tcW w:w="6408" w:type="dxa"/>
            <w:gridSpan w:val="3"/>
          </w:tcPr>
          <w:p w14:paraId="4D2E20EE">
            <w:pPr>
              <w:spacing w:line="360" w:lineRule="auto"/>
              <w:jc w:val="left"/>
              <w:rPr>
                <w:rFonts w:ascii="宋体" w:hAnsi="宋体" w:cs="宋体"/>
                <w:sz w:val="24"/>
              </w:rPr>
            </w:pPr>
          </w:p>
        </w:tc>
      </w:tr>
      <w:tr w14:paraId="64DA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0" w:type="dxa"/>
            <w:vAlign w:val="center"/>
          </w:tcPr>
          <w:p w14:paraId="36892B40">
            <w:pPr>
              <w:spacing w:line="360" w:lineRule="auto"/>
              <w:jc w:val="left"/>
              <w:rPr>
                <w:rFonts w:ascii="宋体" w:hAnsi="宋体" w:cs="宋体"/>
                <w:sz w:val="24"/>
              </w:rPr>
            </w:pPr>
            <w:r>
              <w:rPr>
                <w:rFonts w:hint="eastAsia" w:ascii="宋体" w:hAnsi="宋体" w:cs="宋体"/>
                <w:sz w:val="24"/>
              </w:rPr>
              <w:t>项目经理</w:t>
            </w:r>
          </w:p>
        </w:tc>
        <w:tc>
          <w:tcPr>
            <w:tcW w:w="2296" w:type="dxa"/>
          </w:tcPr>
          <w:p w14:paraId="474CF69D">
            <w:pPr>
              <w:spacing w:line="360" w:lineRule="auto"/>
              <w:jc w:val="left"/>
              <w:rPr>
                <w:rFonts w:ascii="宋体" w:hAnsi="宋体" w:cs="宋体"/>
                <w:sz w:val="24"/>
              </w:rPr>
            </w:pPr>
          </w:p>
        </w:tc>
        <w:tc>
          <w:tcPr>
            <w:tcW w:w="1470" w:type="dxa"/>
          </w:tcPr>
          <w:p w14:paraId="6E9DBFFF">
            <w:pPr>
              <w:spacing w:line="360" w:lineRule="auto"/>
              <w:jc w:val="left"/>
              <w:rPr>
                <w:rFonts w:ascii="宋体" w:hAnsi="宋体" w:cs="宋体"/>
                <w:sz w:val="24"/>
              </w:rPr>
            </w:pPr>
            <w:r>
              <w:rPr>
                <w:rFonts w:hint="eastAsia" w:ascii="宋体" w:hAnsi="宋体" w:cs="宋体"/>
                <w:sz w:val="24"/>
              </w:rPr>
              <w:t>身份证号</w:t>
            </w:r>
          </w:p>
        </w:tc>
        <w:tc>
          <w:tcPr>
            <w:tcW w:w="2642" w:type="dxa"/>
          </w:tcPr>
          <w:p w14:paraId="34DB871C">
            <w:pPr>
              <w:spacing w:line="360" w:lineRule="auto"/>
              <w:jc w:val="left"/>
              <w:rPr>
                <w:rFonts w:ascii="宋体" w:hAnsi="宋体" w:cs="宋体"/>
                <w:sz w:val="24"/>
              </w:rPr>
            </w:pPr>
          </w:p>
        </w:tc>
      </w:tr>
      <w:tr w14:paraId="1919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0" w:type="dxa"/>
            <w:vAlign w:val="center"/>
          </w:tcPr>
          <w:p w14:paraId="407C88E3">
            <w:pPr>
              <w:spacing w:line="360" w:lineRule="auto"/>
              <w:jc w:val="left"/>
              <w:rPr>
                <w:rFonts w:ascii="宋体" w:hAnsi="宋体" w:cs="宋体"/>
                <w:sz w:val="24"/>
              </w:rPr>
            </w:pPr>
            <w:r>
              <w:rPr>
                <w:rFonts w:hint="eastAsia" w:ascii="宋体" w:hAnsi="宋体" w:cs="宋体"/>
                <w:sz w:val="24"/>
              </w:rPr>
              <w:t>技术负责人</w:t>
            </w:r>
          </w:p>
        </w:tc>
        <w:tc>
          <w:tcPr>
            <w:tcW w:w="2296" w:type="dxa"/>
          </w:tcPr>
          <w:p w14:paraId="049C4C01">
            <w:pPr>
              <w:spacing w:line="360" w:lineRule="auto"/>
              <w:jc w:val="left"/>
              <w:rPr>
                <w:rFonts w:ascii="宋体" w:hAnsi="宋体" w:cs="宋体"/>
                <w:sz w:val="24"/>
              </w:rPr>
            </w:pPr>
          </w:p>
        </w:tc>
        <w:tc>
          <w:tcPr>
            <w:tcW w:w="1470" w:type="dxa"/>
          </w:tcPr>
          <w:p w14:paraId="7B1C662D">
            <w:pPr>
              <w:spacing w:line="360" w:lineRule="auto"/>
              <w:jc w:val="left"/>
              <w:rPr>
                <w:rFonts w:ascii="宋体" w:hAnsi="宋体" w:cs="宋体"/>
                <w:sz w:val="24"/>
              </w:rPr>
            </w:pPr>
            <w:r>
              <w:rPr>
                <w:rFonts w:hint="eastAsia" w:ascii="宋体" w:hAnsi="宋体" w:cs="宋体"/>
                <w:sz w:val="24"/>
              </w:rPr>
              <w:t>身份证号</w:t>
            </w:r>
          </w:p>
        </w:tc>
        <w:tc>
          <w:tcPr>
            <w:tcW w:w="2642" w:type="dxa"/>
          </w:tcPr>
          <w:p w14:paraId="0B88C5CF">
            <w:pPr>
              <w:spacing w:line="360" w:lineRule="auto"/>
              <w:jc w:val="left"/>
              <w:rPr>
                <w:rFonts w:ascii="宋体" w:hAnsi="宋体" w:cs="宋体"/>
                <w:sz w:val="24"/>
              </w:rPr>
            </w:pPr>
          </w:p>
        </w:tc>
      </w:tr>
      <w:tr w14:paraId="0503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0" w:type="dxa"/>
            <w:vAlign w:val="center"/>
          </w:tcPr>
          <w:p w14:paraId="7CB5E64A">
            <w:pPr>
              <w:spacing w:line="360" w:lineRule="auto"/>
              <w:jc w:val="left"/>
              <w:rPr>
                <w:rFonts w:ascii="宋体" w:hAnsi="宋体" w:cs="宋体"/>
                <w:sz w:val="24"/>
              </w:rPr>
            </w:pPr>
            <w:r>
              <w:rPr>
                <w:rFonts w:hint="eastAsia" w:ascii="宋体" w:hAnsi="宋体" w:cs="宋体"/>
                <w:sz w:val="24"/>
              </w:rPr>
              <w:t>总监理工程师</w:t>
            </w:r>
          </w:p>
        </w:tc>
        <w:tc>
          <w:tcPr>
            <w:tcW w:w="2296" w:type="dxa"/>
          </w:tcPr>
          <w:p w14:paraId="695099FE">
            <w:pPr>
              <w:spacing w:line="360" w:lineRule="auto"/>
              <w:jc w:val="left"/>
              <w:rPr>
                <w:rFonts w:ascii="宋体" w:hAnsi="宋体" w:cs="宋体"/>
                <w:sz w:val="24"/>
              </w:rPr>
            </w:pPr>
          </w:p>
        </w:tc>
        <w:tc>
          <w:tcPr>
            <w:tcW w:w="1470" w:type="dxa"/>
          </w:tcPr>
          <w:p w14:paraId="5430A1E1">
            <w:pPr>
              <w:spacing w:line="360" w:lineRule="auto"/>
              <w:jc w:val="left"/>
              <w:rPr>
                <w:rFonts w:ascii="宋体" w:hAnsi="宋体" w:cs="宋体"/>
                <w:sz w:val="24"/>
              </w:rPr>
            </w:pPr>
            <w:r>
              <w:rPr>
                <w:rFonts w:hint="eastAsia" w:ascii="宋体" w:hAnsi="宋体" w:cs="宋体"/>
                <w:sz w:val="24"/>
              </w:rPr>
              <w:t>联系电话</w:t>
            </w:r>
          </w:p>
        </w:tc>
        <w:tc>
          <w:tcPr>
            <w:tcW w:w="2642" w:type="dxa"/>
          </w:tcPr>
          <w:p w14:paraId="68BF1133">
            <w:pPr>
              <w:spacing w:line="360" w:lineRule="auto"/>
              <w:jc w:val="left"/>
              <w:rPr>
                <w:rFonts w:ascii="宋体" w:hAnsi="宋体" w:cs="宋体"/>
                <w:sz w:val="24"/>
              </w:rPr>
            </w:pPr>
          </w:p>
        </w:tc>
      </w:tr>
      <w:tr w14:paraId="67AA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20" w:type="dxa"/>
            <w:vAlign w:val="center"/>
          </w:tcPr>
          <w:p w14:paraId="79A6BD3F">
            <w:pPr>
              <w:spacing w:line="360" w:lineRule="auto"/>
              <w:jc w:val="left"/>
              <w:rPr>
                <w:rFonts w:ascii="宋体" w:hAnsi="宋体" w:cs="宋体"/>
                <w:sz w:val="24"/>
              </w:rPr>
            </w:pPr>
            <w:r>
              <w:rPr>
                <w:rFonts w:hint="eastAsia" w:ascii="宋体" w:hAnsi="宋体" w:cs="宋体"/>
                <w:sz w:val="24"/>
              </w:rPr>
              <w:t>工程描述</w:t>
            </w:r>
          </w:p>
        </w:tc>
        <w:tc>
          <w:tcPr>
            <w:tcW w:w="6408" w:type="dxa"/>
            <w:gridSpan w:val="3"/>
          </w:tcPr>
          <w:p w14:paraId="0CB71B97">
            <w:pPr>
              <w:spacing w:line="360" w:lineRule="auto"/>
              <w:jc w:val="left"/>
              <w:rPr>
                <w:rFonts w:ascii="宋体" w:hAnsi="宋体" w:cs="宋体"/>
                <w:sz w:val="24"/>
              </w:rPr>
            </w:pPr>
          </w:p>
        </w:tc>
      </w:tr>
      <w:tr w14:paraId="2B8D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0" w:type="dxa"/>
            <w:vAlign w:val="center"/>
          </w:tcPr>
          <w:p w14:paraId="0787299F">
            <w:pPr>
              <w:spacing w:line="360" w:lineRule="auto"/>
              <w:jc w:val="left"/>
              <w:rPr>
                <w:rFonts w:ascii="宋体" w:hAnsi="宋体" w:cs="宋体"/>
                <w:sz w:val="24"/>
              </w:rPr>
            </w:pPr>
            <w:r>
              <w:rPr>
                <w:rFonts w:hint="eastAsia" w:ascii="宋体" w:hAnsi="宋体" w:cs="宋体"/>
                <w:sz w:val="24"/>
              </w:rPr>
              <w:t>备注</w:t>
            </w:r>
          </w:p>
        </w:tc>
        <w:tc>
          <w:tcPr>
            <w:tcW w:w="6408" w:type="dxa"/>
            <w:gridSpan w:val="3"/>
          </w:tcPr>
          <w:p w14:paraId="675463FE">
            <w:pPr>
              <w:spacing w:line="360" w:lineRule="auto"/>
              <w:jc w:val="left"/>
              <w:rPr>
                <w:rFonts w:ascii="宋体" w:hAnsi="宋体" w:cs="宋体"/>
                <w:sz w:val="24"/>
              </w:rPr>
            </w:pPr>
          </w:p>
        </w:tc>
      </w:tr>
    </w:tbl>
    <w:p w14:paraId="5B4811CB">
      <w:pPr>
        <w:spacing w:line="360" w:lineRule="auto"/>
        <w:ind w:left="915" w:leftChars="150" w:hanging="600" w:hangingChars="250"/>
        <w:jc w:val="left"/>
        <w:rPr>
          <w:rFonts w:ascii="宋体" w:hAnsi="宋体" w:cs="宋体"/>
          <w:sz w:val="24"/>
        </w:rPr>
      </w:pPr>
    </w:p>
    <w:p w14:paraId="76DF8A7C">
      <w:pPr>
        <w:spacing w:line="360" w:lineRule="auto"/>
        <w:rPr>
          <w:rFonts w:ascii="宋体" w:hAnsi="宋体" w:cs="宋体"/>
          <w:sz w:val="24"/>
        </w:rPr>
      </w:pPr>
      <w:r>
        <w:rPr>
          <w:rFonts w:hint="eastAsia" w:ascii="宋体" w:hAnsi="宋体" w:cs="宋体"/>
          <w:sz w:val="24"/>
        </w:rPr>
        <w:t>备注：1）</w:t>
      </w:r>
      <w:bookmarkStart w:id="2517" w:name="_Hlk172181219"/>
      <w:r>
        <w:rPr>
          <w:rFonts w:hint="eastAsia" w:ascii="宋体" w:hAnsi="宋体"/>
          <w:sz w:val="24"/>
        </w:rPr>
        <w:t>近三年（2021年1月1日起至2024年7月1日止）完成的类似业绩，（提供成交通知书或中标合同证明文件（包含：合同服务内容页、金额页及双方签字盖章页）</w:t>
      </w:r>
      <w:r>
        <w:rPr>
          <w:rFonts w:hint="eastAsia" w:ascii="宋体" w:hAnsi="宋体" w:cs="宋体"/>
          <w:sz w:val="24"/>
        </w:rPr>
        <w:t>，提供相关证明材料加盖单位公章。</w:t>
      </w:r>
      <w:bookmarkEnd w:id="2517"/>
    </w:p>
    <w:p w14:paraId="5C4B51B1">
      <w:pPr>
        <w:pStyle w:val="2"/>
        <w:ind w:left="0" w:firstLine="720" w:firstLineChars="300"/>
      </w:pPr>
      <w:r>
        <w:rPr>
          <w:rFonts w:hint="eastAsia"/>
        </w:rPr>
        <w:t>2）每个项目单独填写本表。</w:t>
      </w:r>
    </w:p>
    <w:p w14:paraId="3F85C043">
      <w:pPr>
        <w:autoSpaceDE w:val="0"/>
        <w:autoSpaceDN w:val="0"/>
        <w:adjustRightInd w:val="0"/>
        <w:snapToGrid w:val="0"/>
        <w:spacing w:before="25" w:after="25" w:line="360" w:lineRule="auto"/>
        <w:ind w:right="360"/>
        <w:jc w:val="left"/>
        <w:rPr>
          <w:rFonts w:ascii="宋体" w:hAnsi="宋体"/>
          <w:sz w:val="24"/>
        </w:rPr>
      </w:pPr>
    </w:p>
    <w:p w14:paraId="269CE180">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6B83A7D1">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14:paraId="552F6A99">
      <w:pPr>
        <w:pStyle w:val="272"/>
        <w:numPr>
          <w:ilvl w:val="0"/>
          <w:numId w:val="24"/>
        </w:numPr>
        <w:tabs>
          <w:tab w:val="left" w:pos="360"/>
        </w:tabs>
        <w:snapToGrid w:val="0"/>
        <w:spacing w:line="360" w:lineRule="auto"/>
        <w:ind w:firstLineChars="0"/>
        <w:outlineLvl w:val="1"/>
        <w:rPr>
          <w:rFonts w:ascii="宋体" w:hAnsi="宋体"/>
          <w:sz w:val="24"/>
        </w:rPr>
      </w:pPr>
      <w:r>
        <w:rPr>
          <w:rFonts w:hint="eastAsia" w:ascii="宋体" w:hAnsi="宋体"/>
          <w:sz w:val="24"/>
        </w:rPr>
        <w:t>体系认证证书</w:t>
      </w:r>
    </w:p>
    <w:p w14:paraId="171965E6">
      <w:pPr>
        <w:widowControl/>
        <w:spacing w:line="360" w:lineRule="auto"/>
        <w:ind w:firstLine="480" w:firstLineChars="200"/>
        <w:jc w:val="left"/>
        <w:rPr>
          <w:rFonts w:ascii="宋体" w:hAnsi="宋体"/>
          <w:sz w:val="24"/>
        </w:rPr>
      </w:pPr>
      <w:r>
        <w:rPr>
          <w:rFonts w:hint="eastAsia" w:ascii="宋体" w:hAnsi="宋体"/>
          <w:sz w:val="24"/>
        </w:rPr>
        <w:t>需提供</w:t>
      </w:r>
      <w:r>
        <w:rPr>
          <w:rFonts w:ascii="宋体" w:hAnsi="宋体"/>
          <w:sz w:val="24"/>
        </w:rPr>
        <w:t>ISO9000</w:t>
      </w:r>
      <w:r>
        <w:rPr>
          <w:rFonts w:hint="eastAsia" w:ascii="宋体" w:hAnsi="宋体"/>
          <w:sz w:val="24"/>
        </w:rPr>
        <w:t>质量管理体系认证证书、</w:t>
      </w:r>
      <w:r>
        <w:rPr>
          <w:rFonts w:ascii="宋体" w:hAnsi="宋体"/>
          <w:sz w:val="24"/>
        </w:rPr>
        <w:t>ISO14000</w:t>
      </w:r>
      <w:r>
        <w:rPr>
          <w:rFonts w:hint="eastAsia" w:ascii="宋体" w:hAnsi="宋体"/>
          <w:sz w:val="24"/>
        </w:rPr>
        <w:t>环境管理体系认证证书、</w:t>
      </w:r>
      <w:r>
        <w:rPr>
          <w:rFonts w:ascii="宋体" w:hAnsi="宋体"/>
          <w:sz w:val="24"/>
        </w:rPr>
        <w:t>ISO45000</w:t>
      </w:r>
      <w:r>
        <w:rPr>
          <w:rFonts w:hint="eastAsia" w:ascii="宋体" w:hAnsi="宋体"/>
          <w:sz w:val="24"/>
        </w:rPr>
        <w:t>职业安全健康管理体系认证证书(加盖单位公章)</w:t>
      </w:r>
    </w:p>
    <w:p w14:paraId="4466D4C3">
      <w:pPr>
        <w:widowControl/>
        <w:spacing w:line="360" w:lineRule="auto"/>
        <w:jc w:val="left"/>
        <w:rPr>
          <w:rFonts w:ascii="宋体" w:hAnsi="宋体"/>
          <w:sz w:val="24"/>
        </w:rPr>
      </w:pPr>
    </w:p>
    <w:p w14:paraId="37FD1D20">
      <w:pPr>
        <w:widowControl/>
        <w:jc w:val="left"/>
        <w:rPr>
          <w:rFonts w:ascii="宋体" w:hAnsi="宋体"/>
          <w:sz w:val="24"/>
        </w:rPr>
      </w:pPr>
      <w:r>
        <w:rPr>
          <w:rFonts w:ascii="宋体" w:hAnsi="宋体"/>
          <w:sz w:val="24"/>
        </w:rPr>
        <w:br w:type="page"/>
      </w:r>
    </w:p>
    <w:p w14:paraId="6874A27E">
      <w:pPr>
        <w:pStyle w:val="272"/>
        <w:numPr>
          <w:ilvl w:val="0"/>
          <w:numId w:val="24"/>
        </w:numPr>
        <w:tabs>
          <w:tab w:val="left" w:pos="360"/>
        </w:tabs>
        <w:snapToGrid w:val="0"/>
        <w:spacing w:line="360" w:lineRule="auto"/>
        <w:ind w:firstLineChars="0"/>
        <w:outlineLvl w:val="1"/>
        <w:rPr>
          <w:rFonts w:ascii="宋体" w:hAnsi="宋体"/>
          <w:sz w:val="24"/>
        </w:rPr>
      </w:pPr>
      <w:r>
        <w:rPr>
          <w:rFonts w:hint="eastAsia" w:ascii="宋体" w:hAnsi="宋体"/>
          <w:sz w:val="24"/>
        </w:rPr>
        <w:t>技术部分</w:t>
      </w:r>
    </w:p>
    <w:p w14:paraId="5D8A99F5">
      <w:pPr>
        <w:pStyle w:val="519"/>
        <w:numPr>
          <w:ilvl w:val="0"/>
          <w:numId w:val="27"/>
        </w:numPr>
        <w:spacing w:line="360" w:lineRule="auto"/>
        <w:ind w:firstLineChars="0"/>
        <w:rPr>
          <w:rFonts w:ascii="宋体" w:hAnsi="宋体" w:eastAsia="宋体" w:cs="宋体"/>
          <w:sz w:val="24"/>
          <w:szCs w:val="24"/>
        </w:rPr>
      </w:pPr>
      <w:r>
        <w:rPr>
          <w:rFonts w:hint="eastAsia" w:ascii="宋体" w:hAnsi="宋体" w:eastAsia="宋体" w:cs="宋体"/>
          <w:sz w:val="24"/>
          <w:szCs w:val="24"/>
        </w:rPr>
        <w:t>施工方案与技术措施</w:t>
      </w:r>
    </w:p>
    <w:p w14:paraId="36BE8769">
      <w:pPr>
        <w:pStyle w:val="519"/>
        <w:numPr>
          <w:ilvl w:val="0"/>
          <w:numId w:val="27"/>
        </w:numPr>
        <w:spacing w:line="360" w:lineRule="auto"/>
        <w:ind w:firstLineChars="0"/>
        <w:rPr>
          <w:rFonts w:ascii="宋体" w:hAnsi="宋体" w:eastAsia="宋体" w:cs="宋体"/>
          <w:sz w:val="24"/>
          <w:szCs w:val="24"/>
        </w:rPr>
      </w:pPr>
      <w:r>
        <w:rPr>
          <w:rFonts w:hint="eastAsia" w:ascii="宋体" w:hAnsi="宋体" w:eastAsia="宋体" w:cs="宋体"/>
          <w:sz w:val="24"/>
          <w:szCs w:val="24"/>
        </w:rPr>
        <w:t>工程进度计划与保证措施</w:t>
      </w:r>
    </w:p>
    <w:p w14:paraId="29413235">
      <w:pPr>
        <w:pStyle w:val="519"/>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（2）质量管理体系和保证措施</w:t>
      </w:r>
    </w:p>
    <w:p w14:paraId="452FEBCD">
      <w:pPr>
        <w:pStyle w:val="519"/>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（3）安全和绿色施工保障措施</w:t>
      </w:r>
    </w:p>
    <w:p w14:paraId="7B3B6A46">
      <w:pPr>
        <w:pStyle w:val="519"/>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（5）紧急、突发事件的处理方案和措施</w:t>
      </w:r>
    </w:p>
    <w:p w14:paraId="76FA56EF">
      <w:pPr>
        <w:pStyle w:val="519"/>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（6）后续服务措施</w:t>
      </w:r>
    </w:p>
    <w:p w14:paraId="3168EBED">
      <w:pPr>
        <w:pStyle w:val="66"/>
        <w:ind w:firstLine="480"/>
        <w:rPr>
          <w:rFonts w:ascii="宋体" w:hAnsi="宋体" w:cs="宋体"/>
        </w:rPr>
      </w:pPr>
    </w:p>
    <w:p w14:paraId="212FBD8A">
      <w:pPr>
        <w:pStyle w:val="519"/>
        <w:spacing w:line="360" w:lineRule="auto"/>
        <w:ind w:firstLine="0" w:firstLineChars="0"/>
        <w:rPr>
          <w:rFonts w:ascii="宋体" w:hAnsi="宋体" w:eastAsia="宋体" w:cs="宋体"/>
          <w:sz w:val="24"/>
          <w:szCs w:val="24"/>
        </w:rPr>
      </w:pPr>
      <w:r>
        <w:rPr>
          <w:rFonts w:hint="eastAsia" w:ascii="宋体" w:hAnsi="宋体" w:eastAsia="宋体" w:cs="宋体"/>
          <w:b/>
          <w:bCs/>
          <w:sz w:val="24"/>
          <w:szCs w:val="24"/>
        </w:rPr>
        <w:t xml:space="preserve">备注：响应文件的技术部分应针对该项目的关键技术、工艺、重点、难点，国家和地方现有的标准、规范、规程、工法的具体内容无需载入技术部分，但采用新工艺、新技术、新工法或磋商文件有特殊要求的除外。技术部分从正文开始计算页数不宜超过300页（不宜超过 150 张纸）。 </w:t>
      </w:r>
    </w:p>
    <w:p w14:paraId="3F8713D3">
      <w:pPr>
        <w:pStyle w:val="66"/>
        <w:ind w:firstLine="480"/>
        <w:rPr>
          <w:rFonts w:ascii="宋体" w:hAnsi="宋体" w:cs="宋体"/>
        </w:rPr>
      </w:pPr>
    </w:p>
    <w:p w14:paraId="3C106470">
      <w:pPr>
        <w:pStyle w:val="66"/>
        <w:ind w:firstLine="480"/>
        <w:rPr>
          <w:rFonts w:ascii="宋体" w:hAnsi="宋体" w:cs="宋体"/>
        </w:rPr>
      </w:pPr>
    </w:p>
    <w:p w14:paraId="5BE9EDE9">
      <w:pPr>
        <w:pStyle w:val="66"/>
        <w:ind w:firstLine="480"/>
        <w:rPr>
          <w:rFonts w:ascii="宋体" w:hAnsi="宋体" w:cs="宋体"/>
        </w:rPr>
      </w:pPr>
    </w:p>
    <w:p w14:paraId="3858D997">
      <w:pPr>
        <w:pStyle w:val="66"/>
        <w:ind w:firstLine="480"/>
        <w:rPr>
          <w:rFonts w:ascii="宋体" w:hAnsi="宋体" w:cs="宋体"/>
        </w:rPr>
      </w:pPr>
    </w:p>
    <w:p w14:paraId="43A03672">
      <w:pPr>
        <w:pStyle w:val="66"/>
        <w:ind w:firstLine="480"/>
        <w:rPr>
          <w:rFonts w:ascii="宋体" w:hAnsi="宋体" w:cs="宋体"/>
        </w:rPr>
      </w:pPr>
    </w:p>
    <w:p w14:paraId="74557CEA">
      <w:pPr>
        <w:pStyle w:val="66"/>
        <w:ind w:firstLine="480"/>
        <w:rPr>
          <w:rFonts w:ascii="宋体" w:hAnsi="宋体" w:cs="宋体"/>
        </w:rPr>
      </w:pPr>
    </w:p>
    <w:p w14:paraId="0EA6247B">
      <w:pPr>
        <w:pStyle w:val="66"/>
        <w:ind w:firstLine="480"/>
        <w:rPr>
          <w:rFonts w:ascii="宋体" w:hAnsi="宋体" w:cs="宋体"/>
        </w:rPr>
      </w:pPr>
    </w:p>
    <w:p w14:paraId="16D245BF">
      <w:pPr>
        <w:pStyle w:val="66"/>
        <w:ind w:firstLine="480"/>
        <w:rPr>
          <w:rFonts w:ascii="宋体" w:hAnsi="宋体" w:cs="宋体"/>
        </w:rPr>
      </w:pPr>
    </w:p>
    <w:p w14:paraId="1BCA79AB">
      <w:pPr>
        <w:pStyle w:val="66"/>
        <w:ind w:firstLine="480"/>
        <w:rPr>
          <w:rFonts w:ascii="宋体" w:hAnsi="宋体" w:cs="宋体"/>
        </w:rPr>
      </w:pPr>
    </w:p>
    <w:p w14:paraId="41AA6153">
      <w:pPr>
        <w:pStyle w:val="66"/>
        <w:ind w:firstLine="480"/>
        <w:rPr>
          <w:rFonts w:ascii="宋体" w:hAnsi="宋体" w:cs="宋体"/>
        </w:rPr>
      </w:pPr>
    </w:p>
    <w:p w14:paraId="40647C94">
      <w:pPr>
        <w:pStyle w:val="66"/>
        <w:ind w:left="0" w:leftChars="0" w:firstLine="0" w:firstLineChars="0"/>
        <w:rPr>
          <w:rFonts w:ascii="宋体" w:hAnsi="宋体" w:cs="宋体"/>
        </w:rPr>
      </w:pPr>
    </w:p>
    <w:p w14:paraId="1E26D0E7">
      <w:pPr>
        <w:pStyle w:val="272"/>
        <w:numPr>
          <w:ilvl w:val="0"/>
          <w:numId w:val="24"/>
        </w:numPr>
        <w:tabs>
          <w:tab w:val="left" w:pos="360"/>
        </w:tabs>
        <w:snapToGrid w:val="0"/>
        <w:spacing w:line="360" w:lineRule="auto"/>
        <w:ind w:firstLineChars="0"/>
        <w:outlineLvl w:val="1"/>
        <w:rPr>
          <w:rFonts w:ascii="宋体" w:hAnsi="宋体"/>
          <w:sz w:val="24"/>
        </w:rPr>
      </w:pPr>
      <w:r>
        <w:rPr>
          <w:rFonts w:hint="eastAsia" w:ascii="宋体" w:hAnsi="宋体"/>
          <w:sz w:val="24"/>
        </w:rPr>
        <w:t>材料和工程设备选材表</w:t>
      </w:r>
    </w:p>
    <w:tbl>
      <w:tblPr>
        <w:tblStyle w:val="67"/>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73"/>
        <w:gridCol w:w="1536"/>
        <w:gridCol w:w="1776"/>
        <w:gridCol w:w="2303"/>
        <w:gridCol w:w="1417"/>
      </w:tblGrid>
      <w:tr w14:paraId="725B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26762DC7">
            <w:pPr>
              <w:widowControl/>
              <w:jc w:val="center"/>
              <w:rPr>
                <w:rFonts w:ascii="宋体" w:hAnsi="宋体" w:cs="宋体"/>
                <w:b/>
                <w:bCs/>
                <w:kern w:val="0"/>
                <w:sz w:val="24"/>
              </w:rPr>
            </w:pPr>
            <w:r>
              <w:rPr>
                <w:rFonts w:hint="eastAsia" w:ascii="宋体" w:hAnsi="宋体" w:cs="宋体"/>
                <w:b/>
                <w:bCs/>
                <w:kern w:val="0"/>
                <w:sz w:val="24"/>
              </w:rPr>
              <w:t>序号</w:t>
            </w:r>
          </w:p>
        </w:tc>
        <w:tc>
          <w:tcPr>
            <w:tcW w:w="1473" w:type="dxa"/>
            <w:shd w:val="clear" w:color="auto" w:fill="auto"/>
            <w:vAlign w:val="center"/>
          </w:tcPr>
          <w:p w14:paraId="1EC6DF98">
            <w:pPr>
              <w:widowControl/>
              <w:jc w:val="center"/>
              <w:rPr>
                <w:rFonts w:ascii="宋体" w:hAnsi="宋体" w:cs="宋体"/>
                <w:b/>
                <w:bCs/>
                <w:kern w:val="0"/>
                <w:sz w:val="24"/>
              </w:rPr>
            </w:pPr>
            <w:r>
              <w:rPr>
                <w:rFonts w:hint="eastAsia" w:ascii="宋体" w:hAnsi="宋体" w:cs="宋体"/>
                <w:b/>
                <w:bCs/>
                <w:kern w:val="0"/>
                <w:sz w:val="24"/>
              </w:rPr>
              <w:t>名称</w:t>
            </w:r>
          </w:p>
        </w:tc>
        <w:tc>
          <w:tcPr>
            <w:tcW w:w="1536" w:type="dxa"/>
            <w:shd w:val="clear" w:color="auto" w:fill="auto"/>
            <w:vAlign w:val="center"/>
          </w:tcPr>
          <w:p w14:paraId="4E7C9BD1">
            <w:pPr>
              <w:widowControl/>
              <w:jc w:val="center"/>
              <w:rPr>
                <w:rFonts w:ascii="宋体" w:hAnsi="宋体" w:cs="宋体"/>
                <w:b/>
                <w:bCs/>
                <w:kern w:val="0"/>
                <w:sz w:val="24"/>
              </w:rPr>
            </w:pPr>
            <w:r>
              <w:rPr>
                <w:rFonts w:hint="eastAsia" w:ascii="宋体" w:hAnsi="宋体" w:cs="宋体"/>
                <w:b/>
                <w:bCs/>
                <w:kern w:val="0"/>
                <w:sz w:val="24"/>
              </w:rPr>
              <w:t>型号</w:t>
            </w:r>
          </w:p>
        </w:tc>
        <w:tc>
          <w:tcPr>
            <w:tcW w:w="1776" w:type="dxa"/>
            <w:shd w:val="clear" w:color="auto" w:fill="auto"/>
            <w:vAlign w:val="center"/>
          </w:tcPr>
          <w:p w14:paraId="1D727359">
            <w:pPr>
              <w:widowControl/>
              <w:jc w:val="center"/>
              <w:rPr>
                <w:rFonts w:ascii="宋体" w:hAnsi="宋体" w:cs="宋体"/>
                <w:b/>
                <w:bCs/>
                <w:kern w:val="0"/>
                <w:sz w:val="24"/>
              </w:rPr>
            </w:pPr>
            <w:r>
              <w:rPr>
                <w:rFonts w:hint="eastAsia" w:ascii="宋体" w:hAnsi="宋体" w:cs="宋体"/>
                <w:b/>
                <w:bCs/>
                <w:kern w:val="0"/>
                <w:sz w:val="24"/>
              </w:rPr>
              <w:t>规格、参数</w:t>
            </w:r>
          </w:p>
        </w:tc>
        <w:tc>
          <w:tcPr>
            <w:tcW w:w="2303" w:type="dxa"/>
            <w:shd w:val="clear" w:color="auto" w:fill="auto"/>
            <w:vAlign w:val="center"/>
          </w:tcPr>
          <w:p w14:paraId="4ABFEFAE">
            <w:pPr>
              <w:widowControl/>
              <w:jc w:val="center"/>
              <w:rPr>
                <w:rFonts w:ascii="宋体" w:hAnsi="宋体" w:cs="宋体"/>
                <w:b/>
                <w:bCs/>
                <w:kern w:val="0"/>
                <w:sz w:val="24"/>
              </w:rPr>
            </w:pPr>
            <w:r>
              <w:rPr>
                <w:rFonts w:hint="eastAsia" w:ascii="宋体" w:hAnsi="宋体" w:cs="宋体"/>
                <w:b/>
                <w:bCs/>
                <w:kern w:val="0"/>
                <w:sz w:val="24"/>
              </w:rPr>
              <w:t>使用区域</w:t>
            </w:r>
          </w:p>
        </w:tc>
        <w:tc>
          <w:tcPr>
            <w:tcW w:w="1417" w:type="dxa"/>
            <w:shd w:val="clear" w:color="auto" w:fill="auto"/>
            <w:vAlign w:val="center"/>
          </w:tcPr>
          <w:p w14:paraId="405AB197">
            <w:pPr>
              <w:widowControl/>
              <w:jc w:val="center"/>
              <w:rPr>
                <w:rFonts w:ascii="宋体" w:hAnsi="宋体" w:cs="宋体"/>
                <w:b/>
                <w:bCs/>
                <w:kern w:val="0"/>
                <w:sz w:val="24"/>
              </w:rPr>
            </w:pPr>
            <w:r>
              <w:rPr>
                <w:rFonts w:hint="eastAsia" w:ascii="宋体" w:hAnsi="宋体" w:cs="宋体"/>
                <w:b/>
                <w:bCs/>
                <w:kern w:val="0"/>
                <w:sz w:val="24"/>
              </w:rPr>
              <w:t>选用品牌/产地</w:t>
            </w:r>
          </w:p>
        </w:tc>
      </w:tr>
      <w:tr w14:paraId="682B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14" w:type="dxa"/>
            <w:gridSpan w:val="6"/>
            <w:shd w:val="clear" w:color="000000" w:fill="D9D9D9"/>
            <w:vAlign w:val="center"/>
          </w:tcPr>
          <w:p w14:paraId="447C1B2F">
            <w:pPr>
              <w:widowControl/>
              <w:jc w:val="center"/>
              <w:rPr>
                <w:rFonts w:ascii="宋体" w:hAnsi="宋体" w:cs="宋体"/>
                <w:b/>
                <w:bCs/>
                <w:kern w:val="0"/>
                <w:sz w:val="24"/>
                <w:highlight w:val="yellow"/>
              </w:rPr>
            </w:pPr>
          </w:p>
        </w:tc>
      </w:tr>
      <w:tr w14:paraId="31CB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6E8DF618">
            <w:pPr>
              <w:widowControl/>
              <w:jc w:val="center"/>
              <w:rPr>
                <w:rFonts w:ascii="宋体" w:hAnsi="宋体" w:cs="宋体"/>
                <w:kern w:val="0"/>
                <w:sz w:val="24"/>
                <w:highlight w:val="yellow"/>
              </w:rPr>
            </w:pPr>
          </w:p>
        </w:tc>
        <w:tc>
          <w:tcPr>
            <w:tcW w:w="1473" w:type="dxa"/>
            <w:shd w:val="clear" w:color="auto" w:fill="auto"/>
            <w:vAlign w:val="center"/>
          </w:tcPr>
          <w:p w14:paraId="5726DC18">
            <w:pPr>
              <w:widowControl/>
              <w:jc w:val="center"/>
              <w:rPr>
                <w:rFonts w:ascii="宋体" w:hAnsi="宋体" w:cs="宋体"/>
                <w:kern w:val="0"/>
                <w:sz w:val="24"/>
                <w:highlight w:val="yellow"/>
              </w:rPr>
            </w:pPr>
          </w:p>
        </w:tc>
        <w:tc>
          <w:tcPr>
            <w:tcW w:w="1536" w:type="dxa"/>
            <w:shd w:val="clear" w:color="auto" w:fill="auto"/>
            <w:vAlign w:val="center"/>
          </w:tcPr>
          <w:p w14:paraId="08D67BC9">
            <w:pPr>
              <w:widowControl/>
              <w:jc w:val="center"/>
              <w:rPr>
                <w:rFonts w:ascii="宋体" w:hAnsi="宋体" w:cs="宋体"/>
                <w:kern w:val="0"/>
                <w:sz w:val="24"/>
                <w:highlight w:val="yellow"/>
              </w:rPr>
            </w:pPr>
          </w:p>
        </w:tc>
        <w:tc>
          <w:tcPr>
            <w:tcW w:w="1776" w:type="dxa"/>
            <w:shd w:val="clear" w:color="auto" w:fill="auto"/>
            <w:vAlign w:val="center"/>
          </w:tcPr>
          <w:p w14:paraId="27577330">
            <w:pPr>
              <w:widowControl/>
              <w:jc w:val="center"/>
              <w:rPr>
                <w:rFonts w:ascii="宋体" w:hAnsi="宋体" w:cs="宋体"/>
                <w:kern w:val="0"/>
                <w:sz w:val="24"/>
                <w:highlight w:val="yellow"/>
              </w:rPr>
            </w:pPr>
          </w:p>
        </w:tc>
        <w:tc>
          <w:tcPr>
            <w:tcW w:w="2303" w:type="dxa"/>
            <w:shd w:val="clear" w:color="auto" w:fill="auto"/>
            <w:vAlign w:val="center"/>
          </w:tcPr>
          <w:p w14:paraId="60EAAF82">
            <w:pPr>
              <w:widowControl/>
              <w:jc w:val="center"/>
              <w:rPr>
                <w:rFonts w:ascii="宋体" w:hAnsi="宋体" w:cs="宋体"/>
                <w:kern w:val="0"/>
                <w:sz w:val="24"/>
                <w:highlight w:val="yellow"/>
              </w:rPr>
            </w:pPr>
          </w:p>
        </w:tc>
        <w:tc>
          <w:tcPr>
            <w:tcW w:w="1417" w:type="dxa"/>
            <w:shd w:val="clear" w:color="auto" w:fill="auto"/>
            <w:vAlign w:val="center"/>
          </w:tcPr>
          <w:p w14:paraId="265BFB79">
            <w:pPr>
              <w:widowControl/>
              <w:jc w:val="center"/>
              <w:rPr>
                <w:rFonts w:ascii="宋体" w:hAnsi="宋体" w:cs="宋体"/>
                <w:kern w:val="0"/>
                <w:sz w:val="24"/>
                <w:highlight w:val="yellow"/>
              </w:rPr>
            </w:pPr>
          </w:p>
        </w:tc>
      </w:tr>
      <w:tr w14:paraId="7C8B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593E70E7">
            <w:pPr>
              <w:widowControl/>
              <w:jc w:val="center"/>
              <w:rPr>
                <w:rFonts w:ascii="宋体" w:hAnsi="宋体" w:cs="宋体"/>
                <w:kern w:val="0"/>
                <w:sz w:val="24"/>
                <w:highlight w:val="yellow"/>
              </w:rPr>
            </w:pPr>
          </w:p>
        </w:tc>
        <w:tc>
          <w:tcPr>
            <w:tcW w:w="1473" w:type="dxa"/>
            <w:shd w:val="clear" w:color="auto" w:fill="auto"/>
            <w:vAlign w:val="center"/>
          </w:tcPr>
          <w:p w14:paraId="4B7E3073">
            <w:pPr>
              <w:widowControl/>
              <w:jc w:val="center"/>
              <w:rPr>
                <w:rFonts w:ascii="宋体" w:hAnsi="宋体" w:cs="宋体"/>
                <w:kern w:val="0"/>
                <w:sz w:val="24"/>
                <w:highlight w:val="yellow"/>
              </w:rPr>
            </w:pPr>
          </w:p>
        </w:tc>
        <w:tc>
          <w:tcPr>
            <w:tcW w:w="1536" w:type="dxa"/>
            <w:shd w:val="clear" w:color="auto" w:fill="auto"/>
            <w:vAlign w:val="center"/>
          </w:tcPr>
          <w:p w14:paraId="43158026">
            <w:pPr>
              <w:widowControl/>
              <w:jc w:val="center"/>
              <w:rPr>
                <w:rFonts w:ascii="宋体" w:hAnsi="宋体" w:cs="宋体"/>
                <w:kern w:val="0"/>
                <w:sz w:val="24"/>
                <w:highlight w:val="yellow"/>
              </w:rPr>
            </w:pPr>
          </w:p>
        </w:tc>
        <w:tc>
          <w:tcPr>
            <w:tcW w:w="1776" w:type="dxa"/>
            <w:shd w:val="clear" w:color="auto" w:fill="auto"/>
            <w:vAlign w:val="center"/>
          </w:tcPr>
          <w:p w14:paraId="2AE1F983">
            <w:pPr>
              <w:widowControl/>
              <w:jc w:val="center"/>
              <w:rPr>
                <w:rFonts w:ascii="宋体" w:hAnsi="宋体" w:cs="宋体"/>
                <w:kern w:val="0"/>
                <w:sz w:val="24"/>
                <w:highlight w:val="yellow"/>
              </w:rPr>
            </w:pPr>
          </w:p>
        </w:tc>
        <w:tc>
          <w:tcPr>
            <w:tcW w:w="2303" w:type="dxa"/>
            <w:shd w:val="clear" w:color="auto" w:fill="auto"/>
            <w:vAlign w:val="center"/>
          </w:tcPr>
          <w:p w14:paraId="3A2DE9E9">
            <w:pPr>
              <w:widowControl/>
              <w:jc w:val="center"/>
              <w:rPr>
                <w:rFonts w:ascii="宋体" w:hAnsi="宋体" w:cs="宋体"/>
                <w:kern w:val="0"/>
                <w:sz w:val="24"/>
                <w:highlight w:val="yellow"/>
              </w:rPr>
            </w:pPr>
          </w:p>
        </w:tc>
        <w:tc>
          <w:tcPr>
            <w:tcW w:w="1417" w:type="dxa"/>
            <w:shd w:val="clear" w:color="auto" w:fill="auto"/>
            <w:vAlign w:val="center"/>
          </w:tcPr>
          <w:p w14:paraId="0E7368E3">
            <w:pPr>
              <w:widowControl/>
              <w:jc w:val="center"/>
              <w:rPr>
                <w:rFonts w:ascii="宋体" w:hAnsi="宋体" w:cs="宋体"/>
                <w:kern w:val="0"/>
                <w:sz w:val="24"/>
                <w:highlight w:val="yellow"/>
              </w:rPr>
            </w:pPr>
          </w:p>
        </w:tc>
      </w:tr>
      <w:tr w14:paraId="1B3B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10A39C1C">
            <w:pPr>
              <w:widowControl/>
              <w:jc w:val="center"/>
              <w:rPr>
                <w:rFonts w:ascii="宋体" w:hAnsi="宋体" w:cs="宋体"/>
                <w:kern w:val="0"/>
                <w:sz w:val="24"/>
                <w:highlight w:val="yellow"/>
              </w:rPr>
            </w:pPr>
          </w:p>
        </w:tc>
        <w:tc>
          <w:tcPr>
            <w:tcW w:w="1473" w:type="dxa"/>
            <w:shd w:val="clear" w:color="auto" w:fill="auto"/>
            <w:vAlign w:val="center"/>
          </w:tcPr>
          <w:p w14:paraId="6FA8A979">
            <w:pPr>
              <w:widowControl/>
              <w:jc w:val="center"/>
              <w:rPr>
                <w:rFonts w:ascii="宋体" w:hAnsi="宋体" w:cs="宋体"/>
                <w:kern w:val="0"/>
                <w:sz w:val="24"/>
                <w:highlight w:val="yellow"/>
              </w:rPr>
            </w:pPr>
          </w:p>
        </w:tc>
        <w:tc>
          <w:tcPr>
            <w:tcW w:w="1536" w:type="dxa"/>
            <w:shd w:val="clear" w:color="auto" w:fill="auto"/>
            <w:vAlign w:val="center"/>
          </w:tcPr>
          <w:p w14:paraId="347A75DA">
            <w:pPr>
              <w:widowControl/>
              <w:jc w:val="center"/>
              <w:rPr>
                <w:rFonts w:ascii="宋体" w:hAnsi="宋体" w:cs="宋体"/>
                <w:kern w:val="0"/>
                <w:sz w:val="24"/>
                <w:highlight w:val="yellow"/>
              </w:rPr>
            </w:pPr>
          </w:p>
        </w:tc>
        <w:tc>
          <w:tcPr>
            <w:tcW w:w="1776" w:type="dxa"/>
            <w:shd w:val="clear" w:color="auto" w:fill="auto"/>
            <w:vAlign w:val="center"/>
          </w:tcPr>
          <w:p w14:paraId="5907FF70">
            <w:pPr>
              <w:widowControl/>
              <w:jc w:val="center"/>
              <w:rPr>
                <w:rFonts w:ascii="宋体" w:hAnsi="宋体" w:cs="宋体"/>
                <w:kern w:val="0"/>
                <w:sz w:val="24"/>
                <w:highlight w:val="yellow"/>
              </w:rPr>
            </w:pPr>
          </w:p>
        </w:tc>
        <w:tc>
          <w:tcPr>
            <w:tcW w:w="2303" w:type="dxa"/>
            <w:shd w:val="clear" w:color="auto" w:fill="auto"/>
            <w:vAlign w:val="center"/>
          </w:tcPr>
          <w:p w14:paraId="22DF6453">
            <w:pPr>
              <w:widowControl/>
              <w:jc w:val="center"/>
              <w:rPr>
                <w:rFonts w:ascii="宋体" w:hAnsi="宋体" w:cs="宋体"/>
                <w:kern w:val="0"/>
                <w:sz w:val="24"/>
                <w:highlight w:val="yellow"/>
              </w:rPr>
            </w:pPr>
          </w:p>
        </w:tc>
        <w:tc>
          <w:tcPr>
            <w:tcW w:w="1417" w:type="dxa"/>
            <w:shd w:val="clear" w:color="auto" w:fill="auto"/>
            <w:vAlign w:val="center"/>
          </w:tcPr>
          <w:p w14:paraId="6F18888F">
            <w:pPr>
              <w:widowControl/>
              <w:jc w:val="center"/>
              <w:rPr>
                <w:rFonts w:ascii="宋体" w:hAnsi="宋体" w:cs="宋体"/>
                <w:kern w:val="0"/>
                <w:sz w:val="24"/>
                <w:highlight w:val="yellow"/>
              </w:rPr>
            </w:pPr>
          </w:p>
        </w:tc>
      </w:tr>
      <w:tr w14:paraId="0959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60A4D292">
            <w:pPr>
              <w:widowControl/>
              <w:jc w:val="center"/>
              <w:rPr>
                <w:rFonts w:ascii="宋体" w:hAnsi="宋体" w:cs="宋体"/>
                <w:kern w:val="0"/>
                <w:sz w:val="24"/>
                <w:highlight w:val="yellow"/>
              </w:rPr>
            </w:pPr>
          </w:p>
        </w:tc>
        <w:tc>
          <w:tcPr>
            <w:tcW w:w="1473" w:type="dxa"/>
            <w:shd w:val="clear" w:color="auto" w:fill="auto"/>
            <w:vAlign w:val="center"/>
          </w:tcPr>
          <w:p w14:paraId="2E2F2792">
            <w:pPr>
              <w:widowControl/>
              <w:jc w:val="center"/>
              <w:rPr>
                <w:rFonts w:ascii="宋体" w:hAnsi="宋体" w:cs="宋体"/>
                <w:kern w:val="0"/>
                <w:sz w:val="24"/>
                <w:highlight w:val="yellow"/>
              </w:rPr>
            </w:pPr>
          </w:p>
        </w:tc>
        <w:tc>
          <w:tcPr>
            <w:tcW w:w="1536" w:type="dxa"/>
            <w:shd w:val="clear" w:color="auto" w:fill="auto"/>
            <w:vAlign w:val="center"/>
          </w:tcPr>
          <w:p w14:paraId="620DE188">
            <w:pPr>
              <w:widowControl/>
              <w:jc w:val="center"/>
              <w:rPr>
                <w:rFonts w:ascii="宋体" w:hAnsi="宋体" w:cs="宋体"/>
                <w:kern w:val="0"/>
                <w:sz w:val="24"/>
                <w:highlight w:val="yellow"/>
              </w:rPr>
            </w:pPr>
          </w:p>
        </w:tc>
        <w:tc>
          <w:tcPr>
            <w:tcW w:w="1776" w:type="dxa"/>
            <w:shd w:val="clear" w:color="auto" w:fill="auto"/>
            <w:vAlign w:val="center"/>
          </w:tcPr>
          <w:p w14:paraId="499201E9">
            <w:pPr>
              <w:widowControl/>
              <w:jc w:val="center"/>
              <w:rPr>
                <w:rFonts w:ascii="宋体" w:hAnsi="宋体" w:cs="宋体"/>
                <w:kern w:val="0"/>
                <w:sz w:val="24"/>
                <w:highlight w:val="yellow"/>
              </w:rPr>
            </w:pPr>
          </w:p>
        </w:tc>
        <w:tc>
          <w:tcPr>
            <w:tcW w:w="2303" w:type="dxa"/>
            <w:shd w:val="clear" w:color="auto" w:fill="auto"/>
            <w:vAlign w:val="center"/>
          </w:tcPr>
          <w:p w14:paraId="016029E1">
            <w:pPr>
              <w:widowControl/>
              <w:jc w:val="center"/>
              <w:rPr>
                <w:rFonts w:ascii="宋体" w:hAnsi="宋体" w:cs="宋体"/>
                <w:kern w:val="0"/>
                <w:sz w:val="24"/>
                <w:highlight w:val="yellow"/>
              </w:rPr>
            </w:pPr>
          </w:p>
        </w:tc>
        <w:tc>
          <w:tcPr>
            <w:tcW w:w="1417" w:type="dxa"/>
            <w:shd w:val="clear" w:color="auto" w:fill="auto"/>
            <w:vAlign w:val="center"/>
          </w:tcPr>
          <w:p w14:paraId="6133553C">
            <w:pPr>
              <w:widowControl/>
              <w:jc w:val="center"/>
              <w:rPr>
                <w:rFonts w:ascii="宋体" w:hAnsi="宋体" w:cs="宋体"/>
                <w:kern w:val="0"/>
                <w:sz w:val="24"/>
                <w:highlight w:val="yellow"/>
              </w:rPr>
            </w:pPr>
          </w:p>
        </w:tc>
      </w:tr>
      <w:tr w14:paraId="56D7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51CDE532">
            <w:pPr>
              <w:widowControl/>
              <w:jc w:val="center"/>
              <w:rPr>
                <w:rFonts w:ascii="宋体" w:hAnsi="宋体" w:cs="宋体"/>
                <w:kern w:val="0"/>
                <w:sz w:val="24"/>
                <w:highlight w:val="yellow"/>
              </w:rPr>
            </w:pPr>
          </w:p>
        </w:tc>
        <w:tc>
          <w:tcPr>
            <w:tcW w:w="1473" w:type="dxa"/>
            <w:shd w:val="clear" w:color="auto" w:fill="auto"/>
            <w:vAlign w:val="center"/>
          </w:tcPr>
          <w:p w14:paraId="62DE8E79">
            <w:pPr>
              <w:widowControl/>
              <w:jc w:val="center"/>
              <w:rPr>
                <w:rFonts w:ascii="宋体" w:hAnsi="宋体" w:cs="宋体"/>
                <w:kern w:val="0"/>
                <w:sz w:val="24"/>
                <w:highlight w:val="yellow"/>
              </w:rPr>
            </w:pPr>
          </w:p>
        </w:tc>
        <w:tc>
          <w:tcPr>
            <w:tcW w:w="1536" w:type="dxa"/>
            <w:shd w:val="clear" w:color="auto" w:fill="auto"/>
            <w:vAlign w:val="center"/>
          </w:tcPr>
          <w:p w14:paraId="0F0C9399">
            <w:pPr>
              <w:widowControl/>
              <w:jc w:val="center"/>
              <w:rPr>
                <w:rFonts w:ascii="宋体" w:hAnsi="宋体" w:cs="宋体"/>
                <w:kern w:val="0"/>
                <w:sz w:val="24"/>
                <w:highlight w:val="yellow"/>
              </w:rPr>
            </w:pPr>
          </w:p>
        </w:tc>
        <w:tc>
          <w:tcPr>
            <w:tcW w:w="1776" w:type="dxa"/>
            <w:shd w:val="clear" w:color="auto" w:fill="auto"/>
            <w:vAlign w:val="center"/>
          </w:tcPr>
          <w:p w14:paraId="70870DAD">
            <w:pPr>
              <w:widowControl/>
              <w:jc w:val="center"/>
              <w:rPr>
                <w:rFonts w:ascii="宋体" w:hAnsi="宋体" w:cs="宋体"/>
                <w:kern w:val="0"/>
                <w:sz w:val="24"/>
                <w:highlight w:val="yellow"/>
              </w:rPr>
            </w:pPr>
          </w:p>
        </w:tc>
        <w:tc>
          <w:tcPr>
            <w:tcW w:w="2303" w:type="dxa"/>
            <w:shd w:val="clear" w:color="auto" w:fill="auto"/>
            <w:vAlign w:val="center"/>
          </w:tcPr>
          <w:p w14:paraId="08248F6D">
            <w:pPr>
              <w:widowControl/>
              <w:jc w:val="center"/>
              <w:rPr>
                <w:rFonts w:ascii="宋体" w:hAnsi="宋体" w:cs="宋体"/>
                <w:kern w:val="0"/>
                <w:sz w:val="24"/>
                <w:highlight w:val="yellow"/>
              </w:rPr>
            </w:pPr>
          </w:p>
        </w:tc>
        <w:tc>
          <w:tcPr>
            <w:tcW w:w="1417" w:type="dxa"/>
            <w:shd w:val="clear" w:color="auto" w:fill="auto"/>
            <w:vAlign w:val="center"/>
          </w:tcPr>
          <w:p w14:paraId="7D9EF986">
            <w:pPr>
              <w:widowControl/>
              <w:jc w:val="center"/>
              <w:rPr>
                <w:rFonts w:ascii="宋体" w:hAnsi="宋体" w:cs="宋体"/>
                <w:kern w:val="0"/>
                <w:sz w:val="24"/>
                <w:highlight w:val="yellow"/>
              </w:rPr>
            </w:pPr>
          </w:p>
        </w:tc>
      </w:tr>
      <w:tr w14:paraId="46FE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23956E83">
            <w:pPr>
              <w:widowControl/>
              <w:jc w:val="center"/>
              <w:rPr>
                <w:rFonts w:ascii="宋体" w:hAnsi="宋体" w:cs="宋体"/>
                <w:kern w:val="0"/>
                <w:sz w:val="24"/>
                <w:highlight w:val="yellow"/>
              </w:rPr>
            </w:pPr>
          </w:p>
        </w:tc>
        <w:tc>
          <w:tcPr>
            <w:tcW w:w="1473" w:type="dxa"/>
            <w:shd w:val="clear" w:color="auto" w:fill="auto"/>
            <w:vAlign w:val="center"/>
          </w:tcPr>
          <w:p w14:paraId="36BD5914">
            <w:pPr>
              <w:widowControl/>
              <w:jc w:val="center"/>
              <w:rPr>
                <w:rFonts w:ascii="宋体" w:hAnsi="宋体" w:cs="宋体"/>
                <w:kern w:val="0"/>
                <w:sz w:val="24"/>
                <w:highlight w:val="yellow"/>
              </w:rPr>
            </w:pPr>
          </w:p>
        </w:tc>
        <w:tc>
          <w:tcPr>
            <w:tcW w:w="1536" w:type="dxa"/>
            <w:shd w:val="clear" w:color="auto" w:fill="auto"/>
            <w:vAlign w:val="center"/>
          </w:tcPr>
          <w:p w14:paraId="190F24AB">
            <w:pPr>
              <w:widowControl/>
              <w:jc w:val="center"/>
              <w:rPr>
                <w:rFonts w:ascii="宋体" w:hAnsi="宋体" w:cs="宋体"/>
                <w:kern w:val="0"/>
                <w:sz w:val="24"/>
                <w:highlight w:val="yellow"/>
              </w:rPr>
            </w:pPr>
          </w:p>
        </w:tc>
        <w:tc>
          <w:tcPr>
            <w:tcW w:w="1776" w:type="dxa"/>
            <w:shd w:val="clear" w:color="auto" w:fill="auto"/>
            <w:vAlign w:val="center"/>
          </w:tcPr>
          <w:p w14:paraId="74FE63C6">
            <w:pPr>
              <w:widowControl/>
              <w:jc w:val="center"/>
              <w:rPr>
                <w:rFonts w:ascii="宋体" w:hAnsi="宋体" w:cs="宋体"/>
                <w:kern w:val="0"/>
                <w:sz w:val="24"/>
                <w:highlight w:val="yellow"/>
              </w:rPr>
            </w:pPr>
          </w:p>
        </w:tc>
        <w:tc>
          <w:tcPr>
            <w:tcW w:w="2303" w:type="dxa"/>
            <w:shd w:val="clear" w:color="auto" w:fill="auto"/>
            <w:vAlign w:val="center"/>
          </w:tcPr>
          <w:p w14:paraId="5E4690D9">
            <w:pPr>
              <w:widowControl/>
              <w:jc w:val="center"/>
              <w:rPr>
                <w:rFonts w:ascii="宋体" w:hAnsi="宋体" w:cs="宋体"/>
                <w:kern w:val="0"/>
                <w:sz w:val="24"/>
                <w:highlight w:val="yellow"/>
              </w:rPr>
            </w:pPr>
          </w:p>
        </w:tc>
        <w:tc>
          <w:tcPr>
            <w:tcW w:w="1417" w:type="dxa"/>
            <w:shd w:val="clear" w:color="auto" w:fill="auto"/>
            <w:vAlign w:val="center"/>
          </w:tcPr>
          <w:p w14:paraId="542FC0A7">
            <w:pPr>
              <w:widowControl/>
              <w:jc w:val="center"/>
              <w:rPr>
                <w:rFonts w:ascii="宋体" w:hAnsi="宋体" w:cs="宋体"/>
                <w:kern w:val="0"/>
                <w:sz w:val="24"/>
                <w:highlight w:val="yellow"/>
              </w:rPr>
            </w:pPr>
          </w:p>
        </w:tc>
      </w:tr>
      <w:tr w14:paraId="004C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3390F3AE">
            <w:pPr>
              <w:widowControl/>
              <w:jc w:val="center"/>
              <w:rPr>
                <w:rFonts w:ascii="宋体" w:hAnsi="宋体" w:cs="宋体"/>
                <w:kern w:val="0"/>
                <w:sz w:val="24"/>
                <w:highlight w:val="yellow"/>
              </w:rPr>
            </w:pPr>
          </w:p>
        </w:tc>
        <w:tc>
          <w:tcPr>
            <w:tcW w:w="1473" w:type="dxa"/>
            <w:shd w:val="clear" w:color="auto" w:fill="auto"/>
            <w:vAlign w:val="center"/>
          </w:tcPr>
          <w:p w14:paraId="5AE1359F">
            <w:pPr>
              <w:widowControl/>
              <w:jc w:val="center"/>
              <w:rPr>
                <w:rFonts w:ascii="宋体" w:hAnsi="宋体" w:cs="宋体"/>
                <w:kern w:val="0"/>
                <w:sz w:val="24"/>
                <w:highlight w:val="yellow"/>
              </w:rPr>
            </w:pPr>
          </w:p>
        </w:tc>
        <w:tc>
          <w:tcPr>
            <w:tcW w:w="1536" w:type="dxa"/>
            <w:shd w:val="clear" w:color="auto" w:fill="auto"/>
            <w:vAlign w:val="center"/>
          </w:tcPr>
          <w:p w14:paraId="0CD305AF">
            <w:pPr>
              <w:widowControl/>
              <w:jc w:val="center"/>
              <w:rPr>
                <w:rFonts w:ascii="宋体" w:hAnsi="宋体" w:cs="宋体"/>
                <w:kern w:val="0"/>
                <w:sz w:val="24"/>
                <w:highlight w:val="yellow"/>
              </w:rPr>
            </w:pPr>
          </w:p>
        </w:tc>
        <w:tc>
          <w:tcPr>
            <w:tcW w:w="1776" w:type="dxa"/>
            <w:shd w:val="clear" w:color="auto" w:fill="auto"/>
            <w:vAlign w:val="center"/>
          </w:tcPr>
          <w:p w14:paraId="168DB3CA">
            <w:pPr>
              <w:widowControl/>
              <w:jc w:val="center"/>
              <w:rPr>
                <w:rFonts w:ascii="宋体" w:hAnsi="宋体" w:cs="宋体"/>
                <w:kern w:val="0"/>
                <w:sz w:val="24"/>
                <w:highlight w:val="yellow"/>
              </w:rPr>
            </w:pPr>
          </w:p>
        </w:tc>
        <w:tc>
          <w:tcPr>
            <w:tcW w:w="2303" w:type="dxa"/>
            <w:shd w:val="clear" w:color="auto" w:fill="auto"/>
            <w:vAlign w:val="center"/>
          </w:tcPr>
          <w:p w14:paraId="5536FC1C">
            <w:pPr>
              <w:widowControl/>
              <w:jc w:val="center"/>
              <w:rPr>
                <w:rFonts w:ascii="宋体" w:hAnsi="宋体" w:cs="宋体"/>
                <w:kern w:val="0"/>
                <w:sz w:val="24"/>
                <w:highlight w:val="yellow"/>
              </w:rPr>
            </w:pPr>
          </w:p>
        </w:tc>
        <w:tc>
          <w:tcPr>
            <w:tcW w:w="1417" w:type="dxa"/>
            <w:shd w:val="clear" w:color="auto" w:fill="auto"/>
            <w:vAlign w:val="center"/>
          </w:tcPr>
          <w:p w14:paraId="3972B310">
            <w:pPr>
              <w:widowControl/>
              <w:jc w:val="center"/>
              <w:rPr>
                <w:rFonts w:ascii="宋体" w:hAnsi="宋体" w:cs="宋体"/>
                <w:kern w:val="0"/>
                <w:sz w:val="24"/>
                <w:highlight w:val="yellow"/>
              </w:rPr>
            </w:pPr>
          </w:p>
        </w:tc>
      </w:tr>
      <w:tr w14:paraId="1875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059070C3">
            <w:pPr>
              <w:widowControl/>
              <w:jc w:val="center"/>
              <w:rPr>
                <w:rFonts w:ascii="宋体" w:hAnsi="宋体" w:cs="宋体"/>
                <w:kern w:val="0"/>
                <w:sz w:val="24"/>
                <w:highlight w:val="yellow"/>
              </w:rPr>
            </w:pPr>
          </w:p>
        </w:tc>
        <w:tc>
          <w:tcPr>
            <w:tcW w:w="1473" w:type="dxa"/>
            <w:shd w:val="clear" w:color="auto" w:fill="auto"/>
            <w:vAlign w:val="center"/>
          </w:tcPr>
          <w:p w14:paraId="1142A4DD">
            <w:pPr>
              <w:widowControl/>
              <w:jc w:val="center"/>
              <w:rPr>
                <w:rFonts w:ascii="宋体" w:hAnsi="宋体" w:cs="宋体"/>
                <w:kern w:val="0"/>
                <w:sz w:val="24"/>
                <w:highlight w:val="yellow"/>
              </w:rPr>
            </w:pPr>
          </w:p>
        </w:tc>
        <w:tc>
          <w:tcPr>
            <w:tcW w:w="1536" w:type="dxa"/>
            <w:shd w:val="clear" w:color="auto" w:fill="auto"/>
            <w:vAlign w:val="center"/>
          </w:tcPr>
          <w:p w14:paraId="44BB60BA">
            <w:pPr>
              <w:widowControl/>
              <w:jc w:val="center"/>
              <w:rPr>
                <w:rFonts w:ascii="宋体" w:hAnsi="宋体" w:cs="宋体"/>
                <w:kern w:val="0"/>
                <w:sz w:val="24"/>
                <w:highlight w:val="yellow"/>
              </w:rPr>
            </w:pPr>
          </w:p>
        </w:tc>
        <w:tc>
          <w:tcPr>
            <w:tcW w:w="1776" w:type="dxa"/>
            <w:shd w:val="clear" w:color="auto" w:fill="auto"/>
            <w:vAlign w:val="center"/>
          </w:tcPr>
          <w:p w14:paraId="637A9A32">
            <w:pPr>
              <w:widowControl/>
              <w:jc w:val="center"/>
              <w:rPr>
                <w:rFonts w:ascii="宋体" w:hAnsi="宋体" w:cs="宋体"/>
                <w:kern w:val="0"/>
                <w:sz w:val="24"/>
                <w:highlight w:val="yellow"/>
              </w:rPr>
            </w:pPr>
          </w:p>
        </w:tc>
        <w:tc>
          <w:tcPr>
            <w:tcW w:w="2303" w:type="dxa"/>
            <w:shd w:val="clear" w:color="auto" w:fill="auto"/>
            <w:vAlign w:val="center"/>
          </w:tcPr>
          <w:p w14:paraId="717A516B">
            <w:pPr>
              <w:widowControl/>
              <w:jc w:val="center"/>
              <w:rPr>
                <w:rFonts w:ascii="宋体" w:hAnsi="宋体" w:cs="宋体"/>
                <w:kern w:val="0"/>
                <w:sz w:val="24"/>
                <w:highlight w:val="yellow"/>
              </w:rPr>
            </w:pPr>
          </w:p>
        </w:tc>
        <w:tc>
          <w:tcPr>
            <w:tcW w:w="1417" w:type="dxa"/>
            <w:shd w:val="clear" w:color="auto" w:fill="auto"/>
            <w:vAlign w:val="center"/>
          </w:tcPr>
          <w:p w14:paraId="7C926D3A">
            <w:pPr>
              <w:widowControl/>
              <w:jc w:val="center"/>
              <w:rPr>
                <w:rFonts w:ascii="宋体" w:hAnsi="宋体" w:cs="宋体"/>
                <w:kern w:val="0"/>
                <w:sz w:val="24"/>
                <w:highlight w:val="yellow"/>
              </w:rPr>
            </w:pPr>
          </w:p>
        </w:tc>
      </w:tr>
      <w:tr w14:paraId="3EB7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68BA59A3">
            <w:pPr>
              <w:widowControl/>
              <w:jc w:val="center"/>
              <w:rPr>
                <w:rFonts w:ascii="宋体" w:hAnsi="宋体" w:cs="宋体"/>
                <w:kern w:val="0"/>
                <w:sz w:val="24"/>
                <w:highlight w:val="yellow"/>
              </w:rPr>
            </w:pPr>
          </w:p>
        </w:tc>
        <w:tc>
          <w:tcPr>
            <w:tcW w:w="1473" w:type="dxa"/>
            <w:shd w:val="clear" w:color="auto" w:fill="auto"/>
            <w:vAlign w:val="center"/>
          </w:tcPr>
          <w:p w14:paraId="500DB3CE">
            <w:pPr>
              <w:widowControl/>
              <w:jc w:val="center"/>
              <w:rPr>
                <w:rFonts w:ascii="宋体" w:hAnsi="宋体" w:cs="宋体"/>
                <w:kern w:val="0"/>
                <w:sz w:val="24"/>
                <w:highlight w:val="yellow"/>
              </w:rPr>
            </w:pPr>
          </w:p>
        </w:tc>
        <w:tc>
          <w:tcPr>
            <w:tcW w:w="1536" w:type="dxa"/>
            <w:shd w:val="clear" w:color="auto" w:fill="auto"/>
            <w:vAlign w:val="center"/>
          </w:tcPr>
          <w:p w14:paraId="38B7CDC3">
            <w:pPr>
              <w:widowControl/>
              <w:jc w:val="center"/>
              <w:rPr>
                <w:rFonts w:ascii="宋体" w:hAnsi="宋体" w:cs="宋体"/>
                <w:kern w:val="0"/>
                <w:sz w:val="24"/>
                <w:highlight w:val="yellow"/>
              </w:rPr>
            </w:pPr>
          </w:p>
        </w:tc>
        <w:tc>
          <w:tcPr>
            <w:tcW w:w="1776" w:type="dxa"/>
            <w:shd w:val="clear" w:color="auto" w:fill="auto"/>
            <w:vAlign w:val="center"/>
          </w:tcPr>
          <w:p w14:paraId="7E5D8934">
            <w:pPr>
              <w:widowControl/>
              <w:jc w:val="center"/>
              <w:rPr>
                <w:rFonts w:ascii="宋体" w:hAnsi="宋体" w:cs="宋体"/>
                <w:kern w:val="0"/>
                <w:sz w:val="24"/>
                <w:highlight w:val="yellow"/>
              </w:rPr>
            </w:pPr>
          </w:p>
        </w:tc>
        <w:tc>
          <w:tcPr>
            <w:tcW w:w="2303" w:type="dxa"/>
            <w:shd w:val="clear" w:color="auto" w:fill="auto"/>
            <w:vAlign w:val="center"/>
          </w:tcPr>
          <w:p w14:paraId="65658826">
            <w:pPr>
              <w:widowControl/>
              <w:jc w:val="center"/>
              <w:rPr>
                <w:rFonts w:ascii="宋体" w:hAnsi="宋体" w:cs="宋体"/>
                <w:kern w:val="0"/>
                <w:sz w:val="24"/>
                <w:highlight w:val="yellow"/>
              </w:rPr>
            </w:pPr>
          </w:p>
        </w:tc>
        <w:tc>
          <w:tcPr>
            <w:tcW w:w="1417" w:type="dxa"/>
            <w:shd w:val="clear" w:color="auto" w:fill="auto"/>
            <w:vAlign w:val="center"/>
          </w:tcPr>
          <w:p w14:paraId="0325082E">
            <w:pPr>
              <w:widowControl/>
              <w:jc w:val="center"/>
              <w:rPr>
                <w:rFonts w:ascii="宋体" w:hAnsi="宋体" w:cs="宋体"/>
                <w:kern w:val="0"/>
                <w:sz w:val="24"/>
                <w:highlight w:val="yellow"/>
              </w:rPr>
            </w:pPr>
          </w:p>
        </w:tc>
      </w:tr>
      <w:tr w14:paraId="2B48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1E310079">
            <w:pPr>
              <w:widowControl/>
              <w:jc w:val="center"/>
              <w:rPr>
                <w:rFonts w:ascii="宋体" w:hAnsi="宋体" w:cs="宋体"/>
                <w:kern w:val="0"/>
                <w:sz w:val="24"/>
                <w:highlight w:val="yellow"/>
              </w:rPr>
            </w:pPr>
          </w:p>
        </w:tc>
        <w:tc>
          <w:tcPr>
            <w:tcW w:w="1473" w:type="dxa"/>
            <w:shd w:val="clear" w:color="auto" w:fill="auto"/>
            <w:vAlign w:val="center"/>
          </w:tcPr>
          <w:p w14:paraId="58EBD462">
            <w:pPr>
              <w:widowControl/>
              <w:jc w:val="center"/>
              <w:rPr>
                <w:rFonts w:ascii="宋体" w:hAnsi="宋体" w:cs="宋体"/>
                <w:kern w:val="0"/>
                <w:sz w:val="24"/>
                <w:highlight w:val="yellow"/>
              </w:rPr>
            </w:pPr>
          </w:p>
        </w:tc>
        <w:tc>
          <w:tcPr>
            <w:tcW w:w="1536" w:type="dxa"/>
            <w:shd w:val="clear" w:color="auto" w:fill="auto"/>
            <w:vAlign w:val="center"/>
          </w:tcPr>
          <w:p w14:paraId="6A3F96CE">
            <w:pPr>
              <w:widowControl/>
              <w:jc w:val="center"/>
              <w:rPr>
                <w:rFonts w:ascii="宋体" w:hAnsi="宋体" w:cs="宋体"/>
                <w:kern w:val="0"/>
                <w:sz w:val="24"/>
                <w:highlight w:val="yellow"/>
              </w:rPr>
            </w:pPr>
          </w:p>
        </w:tc>
        <w:tc>
          <w:tcPr>
            <w:tcW w:w="1776" w:type="dxa"/>
            <w:shd w:val="clear" w:color="auto" w:fill="auto"/>
            <w:vAlign w:val="center"/>
          </w:tcPr>
          <w:p w14:paraId="2489498F">
            <w:pPr>
              <w:widowControl/>
              <w:jc w:val="center"/>
              <w:rPr>
                <w:rFonts w:ascii="宋体" w:hAnsi="宋体" w:cs="宋体"/>
                <w:kern w:val="0"/>
                <w:sz w:val="24"/>
                <w:highlight w:val="yellow"/>
              </w:rPr>
            </w:pPr>
          </w:p>
        </w:tc>
        <w:tc>
          <w:tcPr>
            <w:tcW w:w="2303" w:type="dxa"/>
            <w:shd w:val="clear" w:color="auto" w:fill="auto"/>
            <w:vAlign w:val="center"/>
          </w:tcPr>
          <w:p w14:paraId="41D7BBEE">
            <w:pPr>
              <w:widowControl/>
              <w:jc w:val="center"/>
              <w:rPr>
                <w:rFonts w:ascii="宋体" w:hAnsi="宋体" w:cs="宋体"/>
                <w:kern w:val="0"/>
                <w:sz w:val="24"/>
                <w:highlight w:val="yellow"/>
              </w:rPr>
            </w:pPr>
          </w:p>
        </w:tc>
        <w:tc>
          <w:tcPr>
            <w:tcW w:w="1417" w:type="dxa"/>
            <w:shd w:val="clear" w:color="auto" w:fill="auto"/>
            <w:vAlign w:val="center"/>
          </w:tcPr>
          <w:p w14:paraId="0C517028">
            <w:pPr>
              <w:widowControl/>
              <w:jc w:val="center"/>
              <w:rPr>
                <w:rFonts w:ascii="宋体" w:hAnsi="宋体" w:cs="宋体"/>
                <w:kern w:val="0"/>
                <w:sz w:val="24"/>
                <w:highlight w:val="yellow"/>
              </w:rPr>
            </w:pPr>
          </w:p>
        </w:tc>
      </w:tr>
      <w:tr w14:paraId="5014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13CD8DED">
            <w:pPr>
              <w:widowControl/>
              <w:jc w:val="center"/>
              <w:rPr>
                <w:rFonts w:ascii="宋体" w:hAnsi="宋体" w:cs="宋体"/>
                <w:kern w:val="0"/>
                <w:sz w:val="24"/>
                <w:highlight w:val="yellow"/>
              </w:rPr>
            </w:pPr>
          </w:p>
        </w:tc>
        <w:tc>
          <w:tcPr>
            <w:tcW w:w="1473" w:type="dxa"/>
            <w:shd w:val="clear" w:color="auto" w:fill="auto"/>
            <w:vAlign w:val="center"/>
          </w:tcPr>
          <w:p w14:paraId="4FCA7B96">
            <w:pPr>
              <w:widowControl/>
              <w:jc w:val="center"/>
              <w:rPr>
                <w:rFonts w:ascii="宋体" w:hAnsi="宋体" w:cs="宋体"/>
                <w:kern w:val="0"/>
                <w:sz w:val="24"/>
                <w:highlight w:val="yellow"/>
              </w:rPr>
            </w:pPr>
          </w:p>
        </w:tc>
        <w:tc>
          <w:tcPr>
            <w:tcW w:w="1536" w:type="dxa"/>
            <w:shd w:val="clear" w:color="auto" w:fill="auto"/>
            <w:vAlign w:val="center"/>
          </w:tcPr>
          <w:p w14:paraId="25F41611">
            <w:pPr>
              <w:widowControl/>
              <w:jc w:val="center"/>
              <w:rPr>
                <w:rFonts w:ascii="宋体" w:hAnsi="宋体" w:cs="宋体"/>
                <w:kern w:val="0"/>
                <w:sz w:val="24"/>
                <w:highlight w:val="yellow"/>
              </w:rPr>
            </w:pPr>
          </w:p>
        </w:tc>
        <w:tc>
          <w:tcPr>
            <w:tcW w:w="1776" w:type="dxa"/>
            <w:shd w:val="clear" w:color="auto" w:fill="auto"/>
            <w:vAlign w:val="center"/>
          </w:tcPr>
          <w:p w14:paraId="1FFF4539">
            <w:pPr>
              <w:widowControl/>
              <w:jc w:val="center"/>
              <w:rPr>
                <w:rFonts w:ascii="宋体" w:hAnsi="宋体" w:cs="宋体"/>
                <w:kern w:val="0"/>
                <w:sz w:val="24"/>
                <w:highlight w:val="yellow"/>
              </w:rPr>
            </w:pPr>
          </w:p>
        </w:tc>
        <w:tc>
          <w:tcPr>
            <w:tcW w:w="2303" w:type="dxa"/>
            <w:shd w:val="clear" w:color="auto" w:fill="auto"/>
            <w:vAlign w:val="center"/>
          </w:tcPr>
          <w:p w14:paraId="1F0F5448">
            <w:pPr>
              <w:widowControl/>
              <w:jc w:val="center"/>
              <w:rPr>
                <w:rFonts w:ascii="宋体" w:hAnsi="宋体" w:cs="宋体"/>
                <w:kern w:val="0"/>
                <w:sz w:val="24"/>
                <w:highlight w:val="yellow"/>
              </w:rPr>
            </w:pPr>
          </w:p>
        </w:tc>
        <w:tc>
          <w:tcPr>
            <w:tcW w:w="1417" w:type="dxa"/>
            <w:shd w:val="clear" w:color="auto" w:fill="auto"/>
            <w:vAlign w:val="center"/>
          </w:tcPr>
          <w:p w14:paraId="2A2106F4">
            <w:pPr>
              <w:widowControl/>
              <w:jc w:val="center"/>
              <w:rPr>
                <w:rFonts w:ascii="宋体" w:hAnsi="宋体" w:cs="宋体"/>
                <w:kern w:val="0"/>
                <w:sz w:val="24"/>
                <w:highlight w:val="yellow"/>
              </w:rPr>
            </w:pPr>
          </w:p>
        </w:tc>
      </w:tr>
      <w:tr w14:paraId="4CC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14" w:type="dxa"/>
            <w:gridSpan w:val="6"/>
            <w:shd w:val="clear" w:color="000000" w:fill="D9D9D9"/>
            <w:vAlign w:val="center"/>
          </w:tcPr>
          <w:p w14:paraId="3F58CD4E">
            <w:pPr>
              <w:widowControl/>
              <w:jc w:val="center"/>
              <w:rPr>
                <w:rFonts w:ascii="宋体" w:hAnsi="宋体" w:cs="宋体"/>
                <w:b/>
                <w:bCs/>
                <w:kern w:val="0"/>
                <w:sz w:val="24"/>
                <w:highlight w:val="yellow"/>
              </w:rPr>
            </w:pPr>
          </w:p>
        </w:tc>
      </w:tr>
      <w:tr w14:paraId="1E27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58CA8D27">
            <w:pPr>
              <w:widowControl/>
              <w:jc w:val="center"/>
              <w:rPr>
                <w:rFonts w:ascii="宋体" w:hAnsi="宋体" w:cs="宋体"/>
                <w:kern w:val="0"/>
                <w:sz w:val="24"/>
                <w:highlight w:val="yellow"/>
              </w:rPr>
            </w:pPr>
          </w:p>
        </w:tc>
        <w:tc>
          <w:tcPr>
            <w:tcW w:w="1473" w:type="dxa"/>
            <w:shd w:val="clear" w:color="auto" w:fill="auto"/>
            <w:vAlign w:val="center"/>
          </w:tcPr>
          <w:p w14:paraId="6D95FE56">
            <w:pPr>
              <w:widowControl/>
              <w:jc w:val="center"/>
              <w:rPr>
                <w:rFonts w:ascii="宋体" w:hAnsi="宋体" w:cs="宋体"/>
                <w:kern w:val="0"/>
                <w:sz w:val="24"/>
                <w:highlight w:val="yellow"/>
              </w:rPr>
            </w:pPr>
          </w:p>
        </w:tc>
        <w:tc>
          <w:tcPr>
            <w:tcW w:w="1536" w:type="dxa"/>
            <w:shd w:val="clear" w:color="auto" w:fill="auto"/>
            <w:vAlign w:val="center"/>
          </w:tcPr>
          <w:p w14:paraId="2E4B1C09">
            <w:pPr>
              <w:widowControl/>
              <w:jc w:val="center"/>
              <w:rPr>
                <w:rFonts w:ascii="宋体" w:hAnsi="宋体" w:cs="宋体"/>
                <w:kern w:val="0"/>
                <w:sz w:val="24"/>
                <w:highlight w:val="yellow"/>
              </w:rPr>
            </w:pPr>
          </w:p>
        </w:tc>
        <w:tc>
          <w:tcPr>
            <w:tcW w:w="1776" w:type="dxa"/>
            <w:shd w:val="clear" w:color="auto" w:fill="auto"/>
            <w:vAlign w:val="center"/>
          </w:tcPr>
          <w:p w14:paraId="127F433D">
            <w:pPr>
              <w:widowControl/>
              <w:jc w:val="center"/>
              <w:rPr>
                <w:rFonts w:ascii="宋体" w:hAnsi="宋体" w:cs="宋体"/>
                <w:kern w:val="0"/>
                <w:sz w:val="24"/>
                <w:highlight w:val="yellow"/>
              </w:rPr>
            </w:pPr>
          </w:p>
        </w:tc>
        <w:tc>
          <w:tcPr>
            <w:tcW w:w="2303" w:type="dxa"/>
            <w:shd w:val="clear" w:color="auto" w:fill="auto"/>
            <w:vAlign w:val="center"/>
          </w:tcPr>
          <w:p w14:paraId="374336F4">
            <w:pPr>
              <w:widowControl/>
              <w:jc w:val="center"/>
              <w:rPr>
                <w:rFonts w:ascii="宋体" w:hAnsi="宋体" w:cs="宋体"/>
                <w:kern w:val="0"/>
                <w:sz w:val="24"/>
                <w:highlight w:val="yellow"/>
              </w:rPr>
            </w:pPr>
          </w:p>
        </w:tc>
        <w:tc>
          <w:tcPr>
            <w:tcW w:w="1417" w:type="dxa"/>
            <w:shd w:val="clear" w:color="auto" w:fill="auto"/>
            <w:vAlign w:val="center"/>
          </w:tcPr>
          <w:p w14:paraId="28A00689">
            <w:pPr>
              <w:widowControl/>
              <w:jc w:val="center"/>
              <w:rPr>
                <w:rFonts w:ascii="宋体" w:hAnsi="宋体" w:cs="宋体"/>
                <w:kern w:val="0"/>
                <w:sz w:val="24"/>
                <w:highlight w:val="yellow"/>
              </w:rPr>
            </w:pPr>
          </w:p>
        </w:tc>
      </w:tr>
      <w:tr w14:paraId="602B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695C434A">
            <w:pPr>
              <w:widowControl/>
              <w:jc w:val="center"/>
              <w:rPr>
                <w:rFonts w:ascii="宋体" w:hAnsi="宋体" w:cs="宋体"/>
                <w:kern w:val="0"/>
                <w:sz w:val="24"/>
                <w:highlight w:val="yellow"/>
              </w:rPr>
            </w:pPr>
          </w:p>
        </w:tc>
        <w:tc>
          <w:tcPr>
            <w:tcW w:w="1473" w:type="dxa"/>
            <w:shd w:val="clear" w:color="auto" w:fill="auto"/>
            <w:vAlign w:val="center"/>
          </w:tcPr>
          <w:p w14:paraId="138E58BC">
            <w:pPr>
              <w:widowControl/>
              <w:jc w:val="center"/>
              <w:rPr>
                <w:rFonts w:ascii="宋体" w:hAnsi="宋体" w:cs="宋体"/>
                <w:kern w:val="0"/>
                <w:sz w:val="24"/>
                <w:highlight w:val="yellow"/>
              </w:rPr>
            </w:pPr>
          </w:p>
        </w:tc>
        <w:tc>
          <w:tcPr>
            <w:tcW w:w="1536" w:type="dxa"/>
            <w:shd w:val="clear" w:color="auto" w:fill="auto"/>
            <w:vAlign w:val="center"/>
          </w:tcPr>
          <w:p w14:paraId="56EED885">
            <w:pPr>
              <w:widowControl/>
              <w:jc w:val="center"/>
              <w:rPr>
                <w:rFonts w:ascii="宋体" w:hAnsi="宋体" w:cs="宋体"/>
                <w:kern w:val="0"/>
                <w:sz w:val="24"/>
                <w:highlight w:val="yellow"/>
              </w:rPr>
            </w:pPr>
          </w:p>
        </w:tc>
        <w:tc>
          <w:tcPr>
            <w:tcW w:w="1776" w:type="dxa"/>
            <w:shd w:val="clear" w:color="auto" w:fill="auto"/>
            <w:vAlign w:val="center"/>
          </w:tcPr>
          <w:p w14:paraId="23F5574F">
            <w:pPr>
              <w:widowControl/>
              <w:jc w:val="center"/>
              <w:rPr>
                <w:rFonts w:ascii="宋体" w:hAnsi="宋体" w:cs="宋体"/>
                <w:kern w:val="0"/>
                <w:sz w:val="24"/>
                <w:highlight w:val="yellow"/>
              </w:rPr>
            </w:pPr>
          </w:p>
        </w:tc>
        <w:tc>
          <w:tcPr>
            <w:tcW w:w="2303" w:type="dxa"/>
            <w:shd w:val="clear" w:color="auto" w:fill="auto"/>
            <w:vAlign w:val="center"/>
          </w:tcPr>
          <w:p w14:paraId="1623483F">
            <w:pPr>
              <w:widowControl/>
              <w:jc w:val="center"/>
              <w:rPr>
                <w:rFonts w:ascii="宋体" w:hAnsi="宋体" w:cs="宋体"/>
                <w:kern w:val="0"/>
                <w:sz w:val="24"/>
                <w:highlight w:val="yellow"/>
              </w:rPr>
            </w:pPr>
          </w:p>
        </w:tc>
        <w:tc>
          <w:tcPr>
            <w:tcW w:w="1417" w:type="dxa"/>
            <w:shd w:val="clear" w:color="auto" w:fill="auto"/>
            <w:vAlign w:val="center"/>
          </w:tcPr>
          <w:p w14:paraId="6297447E">
            <w:pPr>
              <w:widowControl/>
              <w:jc w:val="center"/>
              <w:rPr>
                <w:rFonts w:ascii="宋体" w:hAnsi="宋体" w:cs="宋体"/>
                <w:kern w:val="0"/>
                <w:sz w:val="24"/>
                <w:highlight w:val="yellow"/>
              </w:rPr>
            </w:pPr>
          </w:p>
        </w:tc>
      </w:tr>
      <w:tr w14:paraId="6176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0181BC61">
            <w:pPr>
              <w:widowControl/>
              <w:jc w:val="center"/>
              <w:rPr>
                <w:rFonts w:ascii="宋体" w:hAnsi="宋体" w:cs="宋体"/>
                <w:kern w:val="0"/>
                <w:sz w:val="24"/>
                <w:highlight w:val="yellow"/>
              </w:rPr>
            </w:pPr>
          </w:p>
        </w:tc>
        <w:tc>
          <w:tcPr>
            <w:tcW w:w="1473" w:type="dxa"/>
            <w:shd w:val="clear" w:color="auto" w:fill="auto"/>
            <w:vAlign w:val="center"/>
          </w:tcPr>
          <w:p w14:paraId="69247C20">
            <w:pPr>
              <w:widowControl/>
              <w:jc w:val="center"/>
              <w:rPr>
                <w:rFonts w:ascii="宋体" w:hAnsi="宋体" w:cs="宋体"/>
                <w:kern w:val="0"/>
                <w:sz w:val="24"/>
                <w:highlight w:val="yellow"/>
              </w:rPr>
            </w:pPr>
          </w:p>
        </w:tc>
        <w:tc>
          <w:tcPr>
            <w:tcW w:w="1536" w:type="dxa"/>
            <w:shd w:val="clear" w:color="auto" w:fill="auto"/>
            <w:vAlign w:val="center"/>
          </w:tcPr>
          <w:p w14:paraId="37BABBE2">
            <w:pPr>
              <w:widowControl/>
              <w:jc w:val="center"/>
              <w:rPr>
                <w:rFonts w:ascii="宋体" w:hAnsi="宋体" w:cs="宋体"/>
                <w:kern w:val="0"/>
                <w:sz w:val="24"/>
                <w:highlight w:val="yellow"/>
              </w:rPr>
            </w:pPr>
          </w:p>
        </w:tc>
        <w:tc>
          <w:tcPr>
            <w:tcW w:w="1776" w:type="dxa"/>
            <w:shd w:val="clear" w:color="auto" w:fill="auto"/>
            <w:vAlign w:val="center"/>
          </w:tcPr>
          <w:p w14:paraId="11C68D65">
            <w:pPr>
              <w:widowControl/>
              <w:jc w:val="center"/>
              <w:rPr>
                <w:rFonts w:ascii="宋体" w:hAnsi="宋体" w:cs="宋体"/>
                <w:kern w:val="0"/>
                <w:sz w:val="24"/>
                <w:highlight w:val="yellow"/>
              </w:rPr>
            </w:pPr>
          </w:p>
        </w:tc>
        <w:tc>
          <w:tcPr>
            <w:tcW w:w="2303" w:type="dxa"/>
            <w:shd w:val="clear" w:color="auto" w:fill="auto"/>
            <w:vAlign w:val="center"/>
          </w:tcPr>
          <w:p w14:paraId="092B0954">
            <w:pPr>
              <w:widowControl/>
              <w:jc w:val="center"/>
              <w:rPr>
                <w:rFonts w:ascii="宋体" w:hAnsi="宋体" w:cs="宋体"/>
                <w:kern w:val="0"/>
                <w:sz w:val="24"/>
                <w:highlight w:val="yellow"/>
              </w:rPr>
            </w:pPr>
          </w:p>
        </w:tc>
        <w:tc>
          <w:tcPr>
            <w:tcW w:w="1417" w:type="dxa"/>
            <w:shd w:val="clear" w:color="auto" w:fill="auto"/>
            <w:vAlign w:val="center"/>
          </w:tcPr>
          <w:p w14:paraId="53118061">
            <w:pPr>
              <w:widowControl/>
              <w:jc w:val="center"/>
              <w:rPr>
                <w:rFonts w:ascii="宋体" w:hAnsi="宋体" w:cs="宋体"/>
                <w:kern w:val="0"/>
                <w:sz w:val="24"/>
                <w:highlight w:val="yellow"/>
              </w:rPr>
            </w:pPr>
          </w:p>
        </w:tc>
      </w:tr>
      <w:tr w14:paraId="6646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2B0EAFA0">
            <w:pPr>
              <w:widowControl/>
              <w:jc w:val="center"/>
              <w:rPr>
                <w:rFonts w:ascii="宋体" w:hAnsi="宋体" w:cs="宋体"/>
                <w:kern w:val="0"/>
                <w:sz w:val="24"/>
                <w:highlight w:val="yellow"/>
              </w:rPr>
            </w:pPr>
          </w:p>
        </w:tc>
        <w:tc>
          <w:tcPr>
            <w:tcW w:w="1473" w:type="dxa"/>
            <w:shd w:val="clear" w:color="auto" w:fill="auto"/>
            <w:vAlign w:val="center"/>
          </w:tcPr>
          <w:p w14:paraId="6D745F05">
            <w:pPr>
              <w:widowControl/>
              <w:jc w:val="center"/>
              <w:rPr>
                <w:rFonts w:ascii="宋体" w:hAnsi="宋体" w:cs="宋体"/>
                <w:kern w:val="0"/>
                <w:sz w:val="24"/>
                <w:highlight w:val="yellow"/>
              </w:rPr>
            </w:pPr>
          </w:p>
        </w:tc>
        <w:tc>
          <w:tcPr>
            <w:tcW w:w="1536" w:type="dxa"/>
            <w:shd w:val="clear" w:color="auto" w:fill="auto"/>
            <w:vAlign w:val="center"/>
          </w:tcPr>
          <w:p w14:paraId="246E311D">
            <w:pPr>
              <w:widowControl/>
              <w:jc w:val="center"/>
              <w:rPr>
                <w:rFonts w:ascii="宋体" w:hAnsi="宋体" w:cs="宋体"/>
                <w:kern w:val="0"/>
                <w:sz w:val="24"/>
                <w:highlight w:val="yellow"/>
              </w:rPr>
            </w:pPr>
          </w:p>
        </w:tc>
        <w:tc>
          <w:tcPr>
            <w:tcW w:w="1776" w:type="dxa"/>
            <w:shd w:val="clear" w:color="auto" w:fill="auto"/>
            <w:vAlign w:val="center"/>
          </w:tcPr>
          <w:p w14:paraId="325EE766">
            <w:pPr>
              <w:widowControl/>
              <w:jc w:val="center"/>
              <w:rPr>
                <w:rFonts w:ascii="宋体" w:hAnsi="宋体" w:cs="宋体"/>
                <w:kern w:val="0"/>
                <w:sz w:val="24"/>
                <w:highlight w:val="yellow"/>
              </w:rPr>
            </w:pPr>
          </w:p>
        </w:tc>
        <w:tc>
          <w:tcPr>
            <w:tcW w:w="2303" w:type="dxa"/>
            <w:shd w:val="clear" w:color="auto" w:fill="auto"/>
            <w:vAlign w:val="center"/>
          </w:tcPr>
          <w:p w14:paraId="7DE000ED">
            <w:pPr>
              <w:widowControl/>
              <w:jc w:val="center"/>
              <w:rPr>
                <w:rFonts w:ascii="宋体" w:hAnsi="宋体" w:cs="宋体"/>
                <w:kern w:val="0"/>
                <w:sz w:val="24"/>
                <w:highlight w:val="yellow"/>
              </w:rPr>
            </w:pPr>
          </w:p>
        </w:tc>
        <w:tc>
          <w:tcPr>
            <w:tcW w:w="1417" w:type="dxa"/>
            <w:shd w:val="clear" w:color="auto" w:fill="auto"/>
            <w:vAlign w:val="center"/>
          </w:tcPr>
          <w:p w14:paraId="1590923D">
            <w:pPr>
              <w:widowControl/>
              <w:jc w:val="center"/>
              <w:rPr>
                <w:rFonts w:ascii="宋体" w:hAnsi="宋体" w:cs="宋体"/>
                <w:kern w:val="0"/>
                <w:sz w:val="24"/>
                <w:highlight w:val="yellow"/>
              </w:rPr>
            </w:pPr>
          </w:p>
        </w:tc>
      </w:tr>
      <w:tr w14:paraId="3DE2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4B9815DD">
            <w:pPr>
              <w:widowControl/>
              <w:jc w:val="center"/>
              <w:rPr>
                <w:rFonts w:ascii="宋体" w:hAnsi="宋体" w:cs="宋体"/>
                <w:kern w:val="0"/>
                <w:sz w:val="24"/>
                <w:highlight w:val="yellow"/>
              </w:rPr>
            </w:pPr>
          </w:p>
        </w:tc>
        <w:tc>
          <w:tcPr>
            <w:tcW w:w="1473" w:type="dxa"/>
            <w:shd w:val="clear" w:color="auto" w:fill="auto"/>
            <w:vAlign w:val="center"/>
          </w:tcPr>
          <w:p w14:paraId="248BA8B6">
            <w:pPr>
              <w:widowControl/>
              <w:jc w:val="center"/>
              <w:rPr>
                <w:rFonts w:ascii="宋体" w:hAnsi="宋体" w:cs="宋体"/>
                <w:kern w:val="0"/>
                <w:sz w:val="24"/>
                <w:highlight w:val="yellow"/>
              </w:rPr>
            </w:pPr>
          </w:p>
        </w:tc>
        <w:tc>
          <w:tcPr>
            <w:tcW w:w="1536" w:type="dxa"/>
            <w:shd w:val="clear" w:color="auto" w:fill="auto"/>
            <w:vAlign w:val="center"/>
          </w:tcPr>
          <w:p w14:paraId="1CD41766">
            <w:pPr>
              <w:widowControl/>
              <w:jc w:val="center"/>
              <w:rPr>
                <w:rFonts w:ascii="宋体" w:hAnsi="宋体" w:cs="宋体"/>
                <w:kern w:val="0"/>
                <w:sz w:val="24"/>
                <w:highlight w:val="yellow"/>
              </w:rPr>
            </w:pPr>
          </w:p>
        </w:tc>
        <w:tc>
          <w:tcPr>
            <w:tcW w:w="1776" w:type="dxa"/>
            <w:shd w:val="clear" w:color="auto" w:fill="auto"/>
            <w:vAlign w:val="center"/>
          </w:tcPr>
          <w:p w14:paraId="0F927043">
            <w:pPr>
              <w:widowControl/>
              <w:jc w:val="center"/>
              <w:rPr>
                <w:rFonts w:ascii="宋体" w:hAnsi="宋体" w:cs="宋体"/>
                <w:kern w:val="0"/>
                <w:sz w:val="24"/>
                <w:highlight w:val="yellow"/>
              </w:rPr>
            </w:pPr>
          </w:p>
        </w:tc>
        <w:tc>
          <w:tcPr>
            <w:tcW w:w="2303" w:type="dxa"/>
            <w:shd w:val="clear" w:color="auto" w:fill="auto"/>
            <w:vAlign w:val="center"/>
          </w:tcPr>
          <w:p w14:paraId="7FE96366">
            <w:pPr>
              <w:widowControl/>
              <w:jc w:val="center"/>
              <w:rPr>
                <w:rFonts w:ascii="宋体" w:hAnsi="宋体" w:cs="宋体"/>
                <w:kern w:val="0"/>
                <w:sz w:val="24"/>
                <w:highlight w:val="yellow"/>
              </w:rPr>
            </w:pPr>
          </w:p>
        </w:tc>
        <w:tc>
          <w:tcPr>
            <w:tcW w:w="1417" w:type="dxa"/>
            <w:shd w:val="clear" w:color="auto" w:fill="auto"/>
            <w:vAlign w:val="center"/>
          </w:tcPr>
          <w:p w14:paraId="37972E93">
            <w:pPr>
              <w:widowControl/>
              <w:jc w:val="center"/>
              <w:rPr>
                <w:rFonts w:ascii="宋体" w:hAnsi="宋体" w:cs="宋体"/>
                <w:kern w:val="0"/>
                <w:sz w:val="24"/>
                <w:highlight w:val="yellow"/>
              </w:rPr>
            </w:pPr>
          </w:p>
        </w:tc>
      </w:tr>
      <w:tr w14:paraId="2CBF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385DFC5E">
            <w:pPr>
              <w:widowControl/>
              <w:jc w:val="center"/>
              <w:rPr>
                <w:rFonts w:ascii="宋体" w:hAnsi="宋体" w:cs="宋体"/>
                <w:kern w:val="0"/>
                <w:sz w:val="24"/>
                <w:highlight w:val="yellow"/>
              </w:rPr>
            </w:pPr>
          </w:p>
        </w:tc>
        <w:tc>
          <w:tcPr>
            <w:tcW w:w="1473" w:type="dxa"/>
            <w:shd w:val="clear" w:color="auto" w:fill="auto"/>
            <w:vAlign w:val="center"/>
          </w:tcPr>
          <w:p w14:paraId="08A786EE">
            <w:pPr>
              <w:widowControl/>
              <w:jc w:val="center"/>
              <w:rPr>
                <w:rFonts w:ascii="宋体" w:hAnsi="宋体" w:cs="宋体"/>
                <w:kern w:val="0"/>
                <w:sz w:val="24"/>
                <w:highlight w:val="yellow"/>
              </w:rPr>
            </w:pPr>
          </w:p>
        </w:tc>
        <w:tc>
          <w:tcPr>
            <w:tcW w:w="1536" w:type="dxa"/>
            <w:shd w:val="clear" w:color="auto" w:fill="auto"/>
            <w:vAlign w:val="center"/>
          </w:tcPr>
          <w:p w14:paraId="1DF017B4">
            <w:pPr>
              <w:widowControl/>
              <w:jc w:val="center"/>
              <w:rPr>
                <w:rFonts w:ascii="宋体" w:hAnsi="宋体" w:cs="宋体"/>
                <w:kern w:val="0"/>
                <w:sz w:val="24"/>
                <w:highlight w:val="yellow"/>
              </w:rPr>
            </w:pPr>
          </w:p>
        </w:tc>
        <w:tc>
          <w:tcPr>
            <w:tcW w:w="1776" w:type="dxa"/>
            <w:shd w:val="clear" w:color="auto" w:fill="auto"/>
            <w:vAlign w:val="center"/>
          </w:tcPr>
          <w:p w14:paraId="1ECA138F">
            <w:pPr>
              <w:widowControl/>
              <w:jc w:val="center"/>
              <w:rPr>
                <w:rFonts w:ascii="宋体" w:hAnsi="宋体" w:cs="宋体"/>
                <w:kern w:val="0"/>
                <w:sz w:val="24"/>
                <w:highlight w:val="yellow"/>
              </w:rPr>
            </w:pPr>
          </w:p>
        </w:tc>
        <w:tc>
          <w:tcPr>
            <w:tcW w:w="2303" w:type="dxa"/>
            <w:shd w:val="clear" w:color="auto" w:fill="auto"/>
            <w:vAlign w:val="center"/>
          </w:tcPr>
          <w:p w14:paraId="495D0D25">
            <w:pPr>
              <w:widowControl/>
              <w:jc w:val="center"/>
              <w:rPr>
                <w:rFonts w:ascii="宋体" w:hAnsi="宋体" w:cs="宋体"/>
                <w:kern w:val="0"/>
                <w:sz w:val="24"/>
                <w:highlight w:val="yellow"/>
              </w:rPr>
            </w:pPr>
          </w:p>
        </w:tc>
        <w:tc>
          <w:tcPr>
            <w:tcW w:w="1417" w:type="dxa"/>
            <w:shd w:val="clear" w:color="auto" w:fill="auto"/>
            <w:vAlign w:val="center"/>
          </w:tcPr>
          <w:p w14:paraId="11CE2720">
            <w:pPr>
              <w:widowControl/>
              <w:jc w:val="center"/>
              <w:rPr>
                <w:rFonts w:ascii="宋体" w:hAnsi="宋体" w:cs="宋体"/>
                <w:kern w:val="0"/>
                <w:sz w:val="24"/>
                <w:highlight w:val="yellow"/>
              </w:rPr>
            </w:pPr>
          </w:p>
        </w:tc>
      </w:tr>
      <w:tr w14:paraId="0415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shd w:val="clear" w:color="auto" w:fill="auto"/>
            <w:vAlign w:val="center"/>
          </w:tcPr>
          <w:p w14:paraId="51324A81">
            <w:pPr>
              <w:widowControl/>
              <w:jc w:val="center"/>
              <w:rPr>
                <w:rFonts w:ascii="宋体" w:hAnsi="宋体" w:cs="宋体"/>
                <w:kern w:val="0"/>
                <w:sz w:val="24"/>
                <w:highlight w:val="yellow"/>
              </w:rPr>
            </w:pPr>
          </w:p>
        </w:tc>
        <w:tc>
          <w:tcPr>
            <w:tcW w:w="1473" w:type="dxa"/>
            <w:shd w:val="clear" w:color="auto" w:fill="auto"/>
            <w:vAlign w:val="center"/>
          </w:tcPr>
          <w:p w14:paraId="11610AF0">
            <w:pPr>
              <w:widowControl/>
              <w:jc w:val="center"/>
              <w:rPr>
                <w:rFonts w:ascii="宋体" w:hAnsi="宋体" w:cs="宋体"/>
                <w:kern w:val="0"/>
                <w:sz w:val="24"/>
                <w:highlight w:val="yellow"/>
              </w:rPr>
            </w:pPr>
          </w:p>
        </w:tc>
        <w:tc>
          <w:tcPr>
            <w:tcW w:w="1536" w:type="dxa"/>
            <w:shd w:val="clear" w:color="auto" w:fill="auto"/>
            <w:vAlign w:val="center"/>
          </w:tcPr>
          <w:p w14:paraId="52ED4505">
            <w:pPr>
              <w:widowControl/>
              <w:jc w:val="center"/>
              <w:rPr>
                <w:rFonts w:ascii="宋体" w:hAnsi="宋体" w:cs="宋体"/>
                <w:kern w:val="0"/>
                <w:sz w:val="24"/>
                <w:highlight w:val="yellow"/>
              </w:rPr>
            </w:pPr>
          </w:p>
        </w:tc>
        <w:tc>
          <w:tcPr>
            <w:tcW w:w="1776" w:type="dxa"/>
            <w:shd w:val="clear" w:color="auto" w:fill="auto"/>
            <w:vAlign w:val="center"/>
          </w:tcPr>
          <w:p w14:paraId="737DB49E">
            <w:pPr>
              <w:widowControl/>
              <w:jc w:val="center"/>
              <w:rPr>
                <w:rFonts w:ascii="宋体" w:hAnsi="宋体" w:cs="宋体"/>
                <w:kern w:val="0"/>
                <w:sz w:val="24"/>
                <w:highlight w:val="yellow"/>
              </w:rPr>
            </w:pPr>
          </w:p>
        </w:tc>
        <w:tc>
          <w:tcPr>
            <w:tcW w:w="2303" w:type="dxa"/>
            <w:shd w:val="clear" w:color="auto" w:fill="auto"/>
            <w:vAlign w:val="center"/>
          </w:tcPr>
          <w:p w14:paraId="38870F81">
            <w:pPr>
              <w:widowControl/>
              <w:jc w:val="center"/>
              <w:rPr>
                <w:rFonts w:ascii="宋体" w:hAnsi="宋体" w:cs="宋体"/>
                <w:kern w:val="0"/>
                <w:sz w:val="24"/>
                <w:highlight w:val="yellow"/>
              </w:rPr>
            </w:pPr>
          </w:p>
        </w:tc>
        <w:tc>
          <w:tcPr>
            <w:tcW w:w="1417" w:type="dxa"/>
            <w:shd w:val="clear" w:color="auto" w:fill="auto"/>
            <w:vAlign w:val="center"/>
          </w:tcPr>
          <w:p w14:paraId="306A9651">
            <w:pPr>
              <w:widowControl/>
              <w:jc w:val="center"/>
              <w:rPr>
                <w:rFonts w:ascii="宋体" w:hAnsi="宋体" w:cs="宋体"/>
                <w:kern w:val="0"/>
                <w:sz w:val="24"/>
                <w:highlight w:val="yellow"/>
              </w:rPr>
            </w:pPr>
          </w:p>
        </w:tc>
      </w:tr>
    </w:tbl>
    <w:p w14:paraId="63EB2554">
      <w:pPr>
        <w:widowControl/>
        <w:jc w:val="left"/>
        <w:rPr>
          <w:rFonts w:ascii="宋体" w:hAnsi="宋体" w:cs="宋体"/>
          <w:sz w:val="24"/>
        </w:rPr>
      </w:pPr>
    </w:p>
    <w:p w14:paraId="5E45E3AC">
      <w:pPr>
        <w:widowControl/>
        <w:jc w:val="left"/>
        <w:rPr>
          <w:rFonts w:ascii="宋体" w:hAnsi="宋体" w:cs="宋体"/>
          <w:sz w:val="24"/>
        </w:rPr>
      </w:pPr>
      <w:r>
        <w:rPr>
          <w:rFonts w:hint="eastAsia" w:ascii="宋体" w:hAnsi="宋体" w:cs="宋体"/>
          <w:sz w:val="24"/>
        </w:rPr>
        <w:t>备注：投标人所填写的“</w:t>
      </w:r>
      <w:r>
        <w:rPr>
          <w:rFonts w:hint="eastAsia" w:ascii="宋体" w:hAnsi="宋体" w:cs="宋体"/>
          <w:b/>
          <w:bCs/>
          <w:kern w:val="0"/>
          <w:sz w:val="24"/>
        </w:rPr>
        <w:t>选用品牌/产地</w:t>
      </w:r>
      <w:r>
        <w:rPr>
          <w:rFonts w:hint="eastAsia" w:ascii="宋体" w:hAnsi="宋体" w:cs="宋体"/>
          <w:sz w:val="24"/>
        </w:rPr>
        <w:t>”不得低于磋商文件要求。</w:t>
      </w:r>
    </w:p>
    <w:p w14:paraId="284B40E3">
      <w:pPr>
        <w:autoSpaceDE w:val="0"/>
        <w:autoSpaceDN w:val="0"/>
        <w:adjustRightInd w:val="0"/>
        <w:snapToGrid w:val="0"/>
        <w:spacing w:before="25" w:after="25" w:line="360" w:lineRule="auto"/>
        <w:ind w:right="360"/>
        <w:jc w:val="left"/>
        <w:rPr>
          <w:rFonts w:ascii="宋体" w:hAnsi="宋体"/>
          <w:sz w:val="24"/>
        </w:rPr>
      </w:pPr>
    </w:p>
    <w:p w14:paraId="092D9E6A">
      <w:pPr>
        <w:autoSpaceDE w:val="0"/>
        <w:autoSpaceDN w:val="0"/>
        <w:adjustRightInd w:val="0"/>
        <w:snapToGrid w:val="0"/>
        <w:spacing w:before="25" w:after="25" w:line="360" w:lineRule="auto"/>
        <w:ind w:right="360"/>
        <w:jc w:val="left"/>
        <w:rPr>
          <w:rFonts w:ascii="宋体" w:hAnsi="宋体"/>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3622F457">
      <w:pPr>
        <w:autoSpaceDE w:val="0"/>
        <w:autoSpaceDN w:val="0"/>
        <w:adjustRightInd w:val="0"/>
        <w:snapToGrid w:val="0"/>
        <w:spacing w:before="25" w:after="25" w:line="360" w:lineRule="auto"/>
        <w:ind w:right="360"/>
        <w:jc w:val="left"/>
        <w:rPr>
          <w:rFonts w:ascii="宋体" w:hAnsi="宋体"/>
          <w:sz w:val="24"/>
          <w:szCs w:val="20"/>
        </w:rPr>
      </w:pPr>
      <w:r>
        <w:rPr>
          <w:rFonts w:ascii="宋体" w:hAnsi="宋体"/>
          <w:sz w:val="24"/>
          <w:szCs w:val="20"/>
        </w:rPr>
        <w:t xml:space="preserve">日期：____年____月____日 </w:t>
      </w:r>
    </w:p>
    <w:p w14:paraId="303AD719">
      <w:pPr>
        <w:widowControl/>
        <w:jc w:val="left"/>
        <w:rPr>
          <w:rFonts w:ascii="宋体" w:hAnsi="宋体"/>
          <w:szCs w:val="21"/>
        </w:rPr>
      </w:pPr>
      <w:r>
        <w:rPr>
          <w:rFonts w:ascii="宋体" w:hAnsi="宋体"/>
          <w:szCs w:val="21"/>
        </w:rPr>
        <w:br w:type="page"/>
      </w:r>
    </w:p>
    <w:p w14:paraId="6BFC84D8">
      <w:pPr>
        <w:pStyle w:val="272"/>
        <w:numPr>
          <w:ilvl w:val="0"/>
          <w:numId w:val="24"/>
        </w:numPr>
        <w:tabs>
          <w:tab w:val="left" w:pos="360"/>
        </w:tabs>
        <w:snapToGrid w:val="0"/>
        <w:spacing w:line="360" w:lineRule="auto"/>
        <w:ind w:firstLineChars="0"/>
        <w:outlineLvl w:val="1"/>
        <w:rPr>
          <w:rFonts w:ascii="宋体" w:hAnsi="宋体"/>
          <w:sz w:val="24"/>
        </w:rPr>
      </w:pPr>
      <w:r>
        <w:rPr>
          <w:rFonts w:hint="eastAsia" w:ascii="宋体" w:hAnsi="宋体"/>
          <w:sz w:val="24"/>
        </w:rPr>
        <w:t>相关承诺</w:t>
      </w:r>
    </w:p>
    <w:p w14:paraId="5F8B40A9">
      <w:pPr>
        <w:widowControl/>
        <w:spacing w:line="480" w:lineRule="auto"/>
        <w:jc w:val="left"/>
        <w:rPr>
          <w:rFonts w:ascii="宋体" w:hAnsi="宋体" w:cs="宋体"/>
          <w:sz w:val="24"/>
        </w:rPr>
      </w:pPr>
    </w:p>
    <w:p w14:paraId="7B1C11EF">
      <w:pPr>
        <w:widowControl/>
        <w:spacing w:line="480" w:lineRule="auto"/>
        <w:ind w:firstLine="480" w:firstLineChars="200"/>
        <w:jc w:val="left"/>
        <w:rPr>
          <w:rFonts w:ascii="宋体" w:hAnsi="宋体" w:cs="宋体"/>
          <w:sz w:val="24"/>
        </w:rPr>
      </w:pPr>
      <w:r>
        <w:rPr>
          <w:rFonts w:hint="eastAsia" w:ascii="宋体" w:hAnsi="宋体" w:cs="宋体"/>
          <w:sz w:val="24"/>
        </w:rPr>
        <w:t>供应商应针对磋商文件第四章采购需求第4项质量及相关要求中</w:t>
      </w:r>
      <w:r>
        <w:rPr>
          <w:rFonts w:hint="eastAsia" w:ascii="宋体" w:hAnsi="宋体" w:cs="宋体"/>
          <w:sz w:val="24"/>
        </w:rPr>
        <w:sym w:font="Wingdings 2" w:char="F0EA"/>
      </w:r>
      <w:r>
        <w:rPr>
          <w:rFonts w:hint="eastAsia" w:ascii="宋体" w:hAnsi="宋体" w:cs="宋体"/>
          <w:sz w:val="24"/>
        </w:rPr>
        <w:t>条款提供书面承诺。（格式自制并加盖单位公章）</w:t>
      </w:r>
      <w:r>
        <w:rPr>
          <w:rFonts w:ascii="宋体" w:hAnsi="宋体" w:cs="宋体"/>
          <w:sz w:val="24"/>
        </w:rPr>
        <w:br w:type="page"/>
      </w:r>
    </w:p>
    <w:p w14:paraId="69B29180">
      <w:pPr>
        <w:pStyle w:val="272"/>
        <w:numPr>
          <w:ilvl w:val="0"/>
          <w:numId w:val="24"/>
        </w:numPr>
        <w:tabs>
          <w:tab w:val="left" w:pos="360"/>
        </w:tabs>
        <w:snapToGrid w:val="0"/>
        <w:spacing w:line="360" w:lineRule="auto"/>
        <w:ind w:firstLineChars="0"/>
        <w:outlineLvl w:val="1"/>
        <w:rPr>
          <w:rFonts w:ascii="宋体" w:hAnsi="宋体"/>
          <w:sz w:val="24"/>
        </w:rPr>
      </w:pPr>
      <w:r>
        <w:rPr>
          <w:rFonts w:ascii="宋体" w:hAnsi="宋体"/>
          <w:sz w:val="24"/>
        </w:rPr>
        <w:t>供应商认为应附的其他材料</w:t>
      </w:r>
    </w:p>
    <w:p w14:paraId="0284C261">
      <w:pPr>
        <w:spacing w:line="360" w:lineRule="auto"/>
        <w:rPr>
          <w:rFonts w:ascii="宋体" w:hAnsi="宋体" w:cs="宋体"/>
          <w:b/>
          <w:sz w:val="24"/>
        </w:rPr>
      </w:pPr>
    </w:p>
    <w:p w14:paraId="3A21C5C6">
      <w:pPr>
        <w:spacing w:line="360" w:lineRule="auto"/>
        <w:rPr>
          <w:rFonts w:ascii="宋体" w:hAnsi="宋体" w:cs="宋体"/>
          <w:b/>
          <w:sz w:val="24"/>
        </w:rPr>
      </w:pPr>
    </w:p>
    <w:p w14:paraId="3CAD2229">
      <w:pPr>
        <w:spacing w:line="360" w:lineRule="auto"/>
        <w:rPr>
          <w:rFonts w:ascii="宋体" w:hAnsi="宋体" w:cs="宋体"/>
          <w:b/>
          <w:sz w:val="24"/>
        </w:rPr>
      </w:pPr>
    </w:p>
    <w:p w14:paraId="59045895">
      <w:pPr>
        <w:spacing w:line="360" w:lineRule="auto"/>
        <w:rPr>
          <w:rFonts w:ascii="宋体" w:hAnsi="宋体" w:cs="宋体"/>
          <w:b/>
          <w:sz w:val="24"/>
        </w:rPr>
      </w:pPr>
    </w:p>
    <w:p w14:paraId="16C7363B">
      <w:pPr>
        <w:spacing w:line="360" w:lineRule="auto"/>
        <w:rPr>
          <w:rFonts w:ascii="宋体" w:hAnsi="宋体" w:cs="宋体"/>
          <w:b/>
          <w:sz w:val="24"/>
        </w:rPr>
      </w:pPr>
    </w:p>
    <w:p w14:paraId="737830B3">
      <w:pPr>
        <w:spacing w:line="360" w:lineRule="auto"/>
        <w:rPr>
          <w:rFonts w:ascii="宋体" w:hAnsi="宋体" w:cs="宋体"/>
          <w:b/>
          <w:sz w:val="24"/>
        </w:rPr>
      </w:pPr>
    </w:p>
    <w:p w14:paraId="64F136DD">
      <w:pPr>
        <w:spacing w:line="360" w:lineRule="auto"/>
        <w:rPr>
          <w:rFonts w:ascii="宋体" w:hAnsi="宋体" w:cs="宋体"/>
          <w:b/>
          <w:sz w:val="24"/>
        </w:rPr>
      </w:pPr>
    </w:p>
    <w:p w14:paraId="14D2B599">
      <w:pPr>
        <w:spacing w:line="360" w:lineRule="auto"/>
        <w:rPr>
          <w:rFonts w:ascii="宋体" w:hAnsi="宋体" w:cs="宋体"/>
          <w:b/>
          <w:sz w:val="24"/>
        </w:rPr>
      </w:pPr>
    </w:p>
    <w:p w14:paraId="728D64FA">
      <w:pPr>
        <w:spacing w:line="360" w:lineRule="auto"/>
        <w:rPr>
          <w:rFonts w:ascii="宋体" w:hAnsi="宋体" w:cs="宋体"/>
          <w:b/>
          <w:sz w:val="24"/>
        </w:rPr>
      </w:pPr>
    </w:p>
    <w:p w14:paraId="3567C614">
      <w:pPr>
        <w:spacing w:line="360" w:lineRule="auto"/>
        <w:rPr>
          <w:rFonts w:ascii="宋体" w:hAnsi="宋体" w:cs="宋体"/>
          <w:b/>
          <w:sz w:val="24"/>
        </w:rPr>
      </w:pPr>
    </w:p>
    <w:p w14:paraId="6926BF76">
      <w:pPr>
        <w:spacing w:line="360" w:lineRule="auto"/>
        <w:rPr>
          <w:rFonts w:ascii="宋体" w:hAnsi="宋体" w:cs="宋体"/>
          <w:b/>
          <w:sz w:val="24"/>
        </w:rPr>
      </w:pPr>
    </w:p>
    <w:p w14:paraId="0E8BF5AD">
      <w:pPr>
        <w:spacing w:line="360" w:lineRule="auto"/>
        <w:rPr>
          <w:rFonts w:ascii="宋体" w:hAnsi="宋体" w:cs="宋体"/>
          <w:b/>
          <w:sz w:val="24"/>
        </w:rPr>
      </w:pPr>
    </w:p>
    <w:p w14:paraId="2A5C9F3A">
      <w:pPr>
        <w:spacing w:line="360" w:lineRule="auto"/>
        <w:rPr>
          <w:rFonts w:ascii="宋体" w:hAnsi="宋体" w:cs="宋体"/>
          <w:b/>
          <w:sz w:val="24"/>
        </w:rPr>
      </w:pPr>
    </w:p>
    <w:p w14:paraId="3E554272">
      <w:pPr>
        <w:spacing w:line="360" w:lineRule="auto"/>
        <w:rPr>
          <w:rFonts w:ascii="宋体" w:hAnsi="宋体" w:cs="宋体"/>
          <w:b/>
          <w:sz w:val="24"/>
        </w:rPr>
      </w:pPr>
    </w:p>
    <w:p w14:paraId="67E2E91A">
      <w:pPr>
        <w:spacing w:line="360" w:lineRule="auto"/>
        <w:rPr>
          <w:rFonts w:ascii="宋体" w:hAnsi="宋体" w:cs="宋体"/>
          <w:b/>
          <w:sz w:val="24"/>
        </w:rPr>
      </w:pPr>
    </w:p>
    <w:p w14:paraId="0715748C">
      <w:pPr>
        <w:pStyle w:val="66"/>
        <w:ind w:firstLine="482"/>
        <w:rPr>
          <w:rFonts w:ascii="宋体" w:hAnsi="宋体" w:cs="宋体"/>
          <w:b/>
        </w:rPr>
      </w:pPr>
    </w:p>
    <w:p w14:paraId="5D24DA20">
      <w:pPr>
        <w:pStyle w:val="66"/>
        <w:ind w:firstLine="482"/>
        <w:rPr>
          <w:rFonts w:ascii="宋体" w:hAnsi="宋体" w:cs="宋体"/>
          <w:b/>
        </w:rPr>
      </w:pPr>
    </w:p>
    <w:p w14:paraId="69D0F176">
      <w:pPr>
        <w:pStyle w:val="66"/>
        <w:ind w:firstLine="482"/>
        <w:rPr>
          <w:rFonts w:ascii="宋体" w:hAnsi="宋体" w:cs="宋体"/>
          <w:b/>
        </w:rPr>
      </w:pPr>
    </w:p>
    <w:p w14:paraId="0FCC3508">
      <w:pPr>
        <w:pStyle w:val="66"/>
        <w:ind w:firstLine="482"/>
        <w:rPr>
          <w:rFonts w:ascii="宋体" w:hAnsi="宋体" w:cs="宋体"/>
          <w:b/>
        </w:rPr>
      </w:pPr>
    </w:p>
    <w:p w14:paraId="281B1C5F">
      <w:pPr>
        <w:widowControl/>
        <w:jc w:val="left"/>
        <w:rPr>
          <w:rFonts w:ascii="宋体" w:hAnsi="宋体" w:cs="宋体"/>
          <w:b/>
          <w:sz w:val="24"/>
          <w:lang w:val="zh-CN"/>
        </w:rPr>
      </w:pPr>
      <w:r>
        <w:rPr>
          <w:rFonts w:ascii="宋体" w:hAnsi="宋体" w:cs="宋体"/>
          <w:b/>
          <w:lang w:val="zh-CN"/>
        </w:rPr>
        <w:br w:type="page"/>
      </w:r>
    </w:p>
    <w:p w14:paraId="331C1F49">
      <w:pPr>
        <w:pStyle w:val="272"/>
        <w:numPr>
          <w:ilvl w:val="0"/>
          <w:numId w:val="24"/>
        </w:numPr>
        <w:tabs>
          <w:tab w:val="left" w:pos="360"/>
        </w:tabs>
        <w:snapToGrid w:val="0"/>
        <w:spacing w:line="360" w:lineRule="auto"/>
        <w:ind w:firstLineChars="0"/>
        <w:outlineLvl w:val="1"/>
        <w:rPr>
          <w:rFonts w:ascii="宋体" w:hAnsi="宋体"/>
          <w:sz w:val="24"/>
        </w:rPr>
      </w:pPr>
      <w:r>
        <w:rPr>
          <w:rFonts w:ascii="宋体" w:hAnsi="宋体"/>
          <w:sz w:val="24"/>
        </w:rPr>
        <w:t>最后报价一览表(实质性格式，磋商后提交)</w:t>
      </w:r>
    </w:p>
    <w:p w14:paraId="58E904E4">
      <w:pPr>
        <w:jc w:val="center"/>
        <w:rPr>
          <w:rFonts w:ascii="宋体" w:hAnsi="宋体"/>
          <w:b/>
          <w:sz w:val="28"/>
        </w:rPr>
      </w:pPr>
    </w:p>
    <w:p w14:paraId="7E6D82B4">
      <w:pPr>
        <w:jc w:val="center"/>
        <w:rPr>
          <w:rFonts w:ascii="宋体" w:hAnsi="宋体"/>
          <w:b/>
          <w:sz w:val="28"/>
          <w:szCs w:val="28"/>
        </w:rPr>
      </w:pPr>
      <w:r>
        <w:rPr>
          <w:rFonts w:hint="eastAsia" w:ascii="宋体" w:hAnsi="宋体"/>
          <w:b/>
          <w:sz w:val="28"/>
        </w:rPr>
        <w:t>二次</w:t>
      </w:r>
      <w:r>
        <w:rPr>
          <w:rFonts w:hint="eastAsia" w:ascii="宋体" w:hAnsi="宋体"/>
          <w:b/>
          <w:sz w:val="28"/>
          <w:szCs w:val="28"/>
        </w:rPr>
        <w:t>磋商记录表</w:t>
      </w:r>
    </w:p>
    <w:tbl>
      <w:tblPr>
        <w:tblStyle w:val="67"/>
        <w:tblW w:w="9083" w:type="dxa"/>
        <w:jc w:val="center"/>
        <w:tblLayout w:type="fixed"/>
        <w:tblCellMar>
          <w:top w:w="0" w:type="dxa"/>
          <w:left w:w="10" w:type="dxa"/>
          <w:bottom w:w="0" w:type="dxa"/>
          <w:right w:w="10" w:type="dxa"/>
        </w:tblCellMar>
      </w:tblPr>
      <w:tblGrid>
        <w:gridCol w:w="2898"/>
        <w:gridCol w:w="2320"/>
        <w:gridCol w:w="3865"/>
      </w:tblGrid>
      <w:tr w14:paraId="07792A1D">
        <w:tblPrEx>
          <w:tblCellMar>
            <w:top w:w="0" w:type="dxa"/>
            <w:left w:w="10" w:type="dxa"/>
            <w:bottom w:w="0" w:type="dxa"/>
            <w:right w:w="10" w:type="dxa"/>
          </w:tblCellMar>
        </w:tblPrEx>
        <w:trPr>
          <w:trHeight w:val="1060" w:hRule="atLeast"/>
          <w:jc w:val="center"/>
        </w:trPr>
        <w:tc>
          <w:tcPr>
            <w:tcW w:w="2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3C3877">
            <w:pPr>
              <w:spacing w:line="360" w:lineRule="auto"/>
              <w:jc w:val="center"/>
              <w:rPr>
                <w:sz w:val="24"/>
              </w:rPr>
            </w:pPr>
            <w:r>
              <w:rPr>
                <w:sz w:val="24"/>
              </w:rPr>
              <w:t>供应商</w:t>
            </w:r>
            <w:r>
              <w:rPr>
                <w:rFonts w:hint="eastAsia"/>
                <w:sz w:val="24"/>
              </w:rPr>
              <w:t>名称</w:t>
            </w:r>
          </w:p>
        </w:tc>
        <w:tc>
          <w:tcPr>
            <w:tcW w:w="6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4EF77D">
            <w:pPr>
              <w:spacing w:line="360" w:lineRule="auto"/>
              <w:jc w:val="center"/>
              <w:rPr>
                <w:rFonts w:cs="宋体"/>
                <w:sz w:val="24"/>
              </w:rPr>
            </w:pPr>
          </w:p>
        </w:tc>
      </w:tr>
      <w:tr w14:paraId="5BB471ED">
        <w:tblPrEx>
          <w:tblCellMar>
            <w:top w:w="0" w:type="dxa"/>
            <w:left w:w="10" w:type="dxa"/>
            <w:bottom w:w="0" w:type="dxa"/>
            <w:right w:w="10" w:type="dxa"/>
          </w:tblCellMar>
        </w:tblPrEx>
        <w:trPr>
          <w:trHeight w:val="617" w:hRule="atLeast"/>
          <w:jc w:val="center"/>
        </w:trPr>
        <w:tc>
          <w:tcPr>
            <w:tcW w:w="908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515AC0">
            <w:pPr>
              <w:spacing w:line="360" w:lineRule="auto"/>
              <w:jc w:val="left"/>
              <w:rPr>
                <w:sz w:val="24"/>
              </w:rPr>
            </w:pPr>
            <w:r>
              <w:rPr>
                <w:sz w:val="24"/>
              </w:rPr>
              <w:t>需澄清的问题：</w:t>
            </w:r>
          </w:p>
          <w:p w14:paraId="22135BC6">
            <w:pPr>
              <w:spacing w:line="360" w:lineRule="auto"/>
              <w:jc w:val="left"/>
              <w:rPr>
                <w:sz w:val="24"/>
              </w:rPr>
            </w:pPr>
          </w:p>
        </w:tc>
      </w:tr>
      <w:tr w14:paraId="32877564">
        <w:tblPrEx>
          <w:tblCellMar>
            <w:top w:w="0" w:type="dxa"/>
            <w:left w:w="10" w:type="dxa"/>
            <w:bottom w:w="0" w:type="dxa"/>
            <w:right w:w="10" w:type="dxa"/>
          </w:tblCellMar>
        </w:tblPrEx>
        <w:trPr>
          <w:trHeight w:val="955" w:hRule="atLeast"/>
          <w:jc w:val="center"/>
        </w:trPr>
        <w:tc>
          <w:tcPr>
            <w:tcW w:w="908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4837760">
            <w:pPr>
              <w:spacing w:line="360" w:lineRule="auto"/>
              <w:jc w:val="left"/>
              <w:rPr>
                <w:sz w:val="24"/>
              </w:rPr>
            </w:pPr>
            <w:r>
              <w:rPr>
                <w:sz w:val="24"/>
              </w:rPr>
              <w:t>供应商的答复：</w:t>
            </w:r>
          </w:p>
        </w:tc>
      </w:tr>
      <w:tr w14:paraId="0EFD97AA">
        <w:tblPrEx>
          <w:tblCellMar>
            <w:top w:w="0" w:type="dxa"/>
            <w:left w:w="10" w:type="dxa"/>
            <w:bottom w:w="0" w:type="dxa"/>
            <w:right w:w="10" w:type="dxa"/>
          </w:tblCellMar>
        </w:tblPrEx>
        <w:trPr>
          <w:trHeight w:val="1278" w:hRule="atLeast"/>
          <w:jc w:val="center"/>
        </w:trPr>
        <w:tc>
          <w:tcPr>
            <w:tcW w:w="2898" w:type="dxa"/>
            <w:vMerge w:val="restart"/>
            <w:tcBorders>
              <w:left w:val="single" w:color="000000" w:sz="4" w:space="0"/>
              <w:right w:val="single" w:color="000000" w:sz="4" w:space="0"/>
            </w:tcBorders>
            <w:tcMar>
              <w:top w:w="0" w:type="dxa"/>
              <w:left w:w="108" w:type="dxa"/>
              <w:bottom w:w="0" w:type="dxa"/>
              <w:right w:w="108" w:type="dxa"/>
            </w:tcMar>
            <w:vAlign w:val="center"/>
          </w:tcPr>
          <w:p w14:paraId="11AF5D2A">
            <w:pPr>
              <w:spacing w:line="500" w:lineRule="exact"/>
              <w:jc w:val="center"/>
              <w:rPr>
                <w:sz w:val="24"/>
              </w:rPr>
            </w:pPr>
            <w:r>
              <w:rPr>
                <w:rFonts w:hint="eastAsia"/>
                <w:sz w:val="24"/>
              </w:rPr>
              <w:t>第一次报价</w:t>
            </w:r>
          </w:p>
        </w:tc>
        <w:tc>
          <w:tcPr>
            <w:tcW w:w="23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95D3F3">
            <w:pPr>
              <w:spacing w:line="500" w:lineRule="exact"/>
              <w:jc w:val="center"/>
              <w:rPr>
                <w:sz w:val="24"/>
              </w:rPr>
            </w:pPr>
            <w:r>
              <w:rPr>
                <w:sz w:val="24"/>
              </w:rPr>
              <w:t>大写</w:t>
            </w:r>
          </w:p>
        </w:tc>
        <w:tc>
          <w:tcPr>
            <w:tcW w:w="38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F0D3E5">
            <w:pPr>
              <w:spacing w:line="500" w:lineRule="exact"/>
              <w:rPr>
                <w:sz w:val="24"/>
              </w:rPr>
            </w:pPr>
            <w:r>
              <w:rPr>
                <w:rFonts w:hint="eastAsia"/>
                <w:sz w:val="24"/>
              </w:rPr>
              <w:t xml:space="preserve">                   </w:t>
            </w:r>
          </w:p>
        </w:tc>
      </w:tr>
      <w:tr w14:paraId="150F9F38">
        <w:tblPrEx>
          <w:tblCellMar>
            <w:top w:w="0" w:type="dxa"/>
            <w:left w:w="10" w:type="dxa"/>
            <w:bottom w:w="0" w:type="dxa"/>
            <w:right w:w="10" w:type="dxa"/>
          </w:tblCellMar>
        </w:tblPrEx>
        <w:trPr>
          <w:trHeight w:val="1278" w:hRule="atLeast"/>
          <w:jc w:val="center"/>
        </w:trPr>
        <w:tc>
          <w:tcPr>
            <w:tcW w:w="2898" w:type="dxa"/>
            <w:vMerge w:val="continue"/>
            <w:tcBorders>
              <w:left w:val="single" w:color="000000" w:sz="4" w:space="0"/>
              <w:bottom w:val="nil"/>
              <w:right w:val="single" w:color="000000" w:sz="4" w:space="0"/>
            </w:tcBorders>
            <w:tcMar>
              <w:top w:w="0" w:type="dxa"/>
              <w:left w:w="108" w:type="dxa"/>
              <w:bottom w:w="0" w:type="dxa"/>
              <w:right w:w="108" w:type="dxa"/>
            </w:tcMar>
            <w:vAlign w:val="center"/>
          </w:tcPr>
          <w:p w14:paraId="31B01354">
            <w:pPr>
              <w:spacing w:line="500" w:lineRule="exact"/>
              <w:jc w:val="center"/>
              <w:rPr>
                <w:sz w:val="24"/>
              </w:rPr>
            </w:pPr>
          </w:p>
        </w:tc>
        <w:tc>
          <w:tcPr>
            <w:tcW w:w="23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E23B55">
            <w:pPr>
              <w:widowControl/>
              <w:spacing w:line="500" w:lineRule="exact"/>
              <w:jc w:val="center"/>
              <w:rPr>
                <w:sz w:val="24"/>
              </w:rPr>
            </w:pPr>
            <w:r>
              <w:rPr>
                <w:sz w:val="24"/>
              </w:rPr>
              <w:t>小写</w:t>
            </w:r>
          </w:p>
        </w:tc>
        <w:tc>
          <w:tcPr>
            <w:tcW w:w="38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0B0019">
            <w:pPr>
              <w:spacing w:line="500" w:lineRule="exact"/>
              <w:ind w:firstLine="2160" w:firstLineChars="900"/>
              <w:rPr>
                <w:sz w:val="24"/>
              </w:rPr>
            </w:pPr>
            <w:r>
              <w:rPr>
                <w:rFonts w:hint="eastAsia"/>
                <w:sz w:val="24"/>
              </w:rPr>
              <w:t>元（人民币）</w:t>
            </w:r>
          </w:p>
        </w:tc>
      </w:tr>
      <w:tr w14:paraId="41AA4224">
        <w:tblPrEx>
          <w:tblCellMar>
            <w:top w:w="0" w:type="dxa"/>
            <w:left w:w="10" w:type="dxa"/>
            <w:bottom w:w="0" w:type="dxa"/>
            <w:right w:w="10" w:type="dxa"/>
          </w:tblCellMar>
        </w:tblPrEx>
        <w:trPr>
          <w:trHeight w:val="1278" w:hRule="atLeast"/>
          <w:jc w:val="center"/>
        </w:trPr>
        <w:tc>
          <w:tcPr>
            <w:tcW w:w="2898"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C03C46B">
            <w:pPr>
              <w:spacing w:line="500" w:lineRule="exact"/>
              <w:jc w:val="center"/>
              <w:rPr>
                <w:sz w:val="24"/>
              </w:rPr>
            </w:pPr>
            <w:r>
              <w:rPr>
                <w:rFonts w:hint="eastAsia"/>
                <w:sz w:val="24"/>
              </w:rPr>
              <w:t>第二次报价</w:t>
            </w:r>
          </w:p>
        </w:tc>
        <w:tc>
          <w:tcPr>
            <w:tcW w:w="2320"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47930A1F">
            <w:pPr>
              <w:spacing w:line="500" w:lineRule="exact"/>
              <w:jc w:val="center"/>
              <w:rPr>
                <w:sz w:val="24"/>
              </w:rPr>
            </w:pPr>
            <w:r>
              <w:rPr>
                <w:sz w:val="24"/>
              </w:rPr>
              <w:t>大写</w:t>
            </w:r>
          </w:p>
        </w:tc>
        <w:tc>
          <w:tcPr>
            <w:tcW w:w="3865" w:type="dxa"/>
            <w:tcBorders>
              <w:top w:val="single" w:color="000000" w:sz="4" w:space="0"/>
              <w:left w:val="single" w:color="000000" w:sz="4" w:space="0"/>
              <w:right w:val="single" w:color="000000" w:sz="4" w:space="0"/>
            </w:tcBorders>
            <w:vAlign w:val="center"/>
          </w:tcPr>
          <w:p w14:paraId="6EF82B83">
            <w:pPr>
              <w:spacing w:line="500" w:lineRule="exact"/>
              <w:rPr>
                <w:sz w:val="24"/>
              </w:rPr>
            </w:pPr>
            <w:r>
              <w:rPr>
                <w:rFonts w:hint="eastAsia"/>
                <w:sz w:val="24"/>
              </w:rPr>
              <w:t xml:space="preserve">                   </w:t>
            </w:r>
          </w:p>
        </w:tc>
      </w:tr>
      <w:tr w14:paraId="3DE05646">
        <w:tblPrEx>
          <w:tblCellMar>
            <w:top w:w="0" w:type="dxa"/>
            <w:left w:w="10" w:type="dxa"/>
            <w:bottom w:w="0" w:type="dxa"/>
            <w:right w:w="10" w:type="dxa"/>
          </w:tblCellMar>
        </w:tblPrEx>
        <w:trPr>
          <w:trHeight w:val="1278" w:hRule="atLeast"/>
          <w:jc w:val="center"/>
        </w:trPr>
        <w:tc>
          <w:tcPr>
            <w:tcW w:w="2898" w:type="dxa"/>
            <w:vMerge w:val="continue"/>
            <w:tcBorders>
              <w:left w:val="single" w:color="000000" w:sz="4" w:space="0"/>
              <w:bottom w:val="nil"/>
              <w:right w:val="single" w:color="000000" w:sz="4" w:space="0"/>
            </w:tcBorders>
            <w:tcMar>
              <w:top w:w="0" w:type="dxa"/>
              <w:left w:w="108" w:type="dxa"/>
              <w:bottom w:w="0" w:type="dxa"/>
              <w:right w:w="108" w:type="dxa"/>
            </w:tcMar>
            <w:vAlign w:val="center"/>
          </w:tcPr>
          <w:p w14:paraId="3BB83B2A">
            <w:pPr>
              <w:spacing w:line="500" w:lineRule="exact"/>
              <w:jc w:val="center"/>
              <w:rPr>
                <w:sz w:val="24"/>
              </w:rPr>
            </w:pPr>
          </w:p>
        </w:tc>
        <w:tc>
          <w:tcPr>
            <w:tcW w:w="2320"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14:paraId="25C29D2A">
            <w:pPr>
              <w:spacing w:line="500" w:lineRule="exact"/>
              <w:jc w:val="center"/>
              <w:rPr>
                <w:sz w:val="24"/>
              </w:rPr>
            </w:pPr>
            <w:r>
              <w:rPr>
                <w:rFonts w:hint="eastAsia"/>
                <w:sz w:val="24"/>
              </w:rPr>
              <w:t>小写</w:t>
            </w:r>
          </w:p>
        </w:tc>
        <w:tc>
          <w:tcPr>
            <w:tcW w:w="3865" w:type="dxa"/>
            <w:tcBorders>
              <w:top w:val="single" w:color="000000" w:sz="4" w:space="0"/>
              <w:left w:val="single" w:color="000000" w:sz="4" w:space="0"/>
              <w:bottom w:val="single" w:color="000000" w:sz="4" w:space="0"/>
              <w:right w:val="single" w:color="000000" w:sz="4" w:space="0"/>
            </w:tcBorders>
            <w:vAlign w:val="center"/>
          </w:tcPr>
          <w:p w14:paraId="3614251B">
            <w:pPr>
              <w:spacing w:line="500" w:lineRule="exact"/>
              <w:jc w:val="center"/>
              <w:rPr>
                <w:sz w:val="24"/>
              </w:rPr>
            </w:pPr>
            <w:r>
              <w:rPr>
                <w:rFonts w:hint="eastAsia"/>
                <w:sz w:val="24"/>
              </w:rPr>
              <w:t xml:space="preserve"> </w:t>
            </w:r>
            <w:r>
              <w:rPr>
                <w:sz w:val="24"/>
              </w:rPr>
              <w:t xml:space="preserve">                  </w:t>
            </w:r>
            <w:r>
              <w:rPr>
                <w:rFonts w:hint="eastAsia"/>
                <w:sz w:val="24"/>
              </w:rPr>
              <w:t>元（人民币）</w:t>
            </w:r>
          </w:p>
        </w:tc>
      </w:tr>
      <w:tr w14:paraId="6656039A">
        <w:tblPrEx>
          <w:tblCellMar>
            <w:top w:w="0" w:type="dxa"/>
            <w:left w:w="10" w:type="dxa"/>
            <w:bottom w:w="0" w:type="dxa"/>
            <w:right w:w="10" w:type="dxa"/>
          </w:tblCellMar>
        </w:tblPrEx>
        <w:trPr>
          <w:trHeight w:val="2000" w:hRule="atLeast"/>
          <w:jc w:val="center"/>
        </w:trPr>
        <w:tc>
          <w:tcPr>
            <w:tcW w:w="2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FE5D80">
            <w:pPr>
              <w:spacing w:line="360" w:lineRule="auto"/>
              <w:jc w:val="left"/>
              <w:rPr>
                <w:sz w:val="24"/>
              </w:rPr>
            </w:pPr>
            <w:r>
              <w:rPr>
                <w:sz w:val="24"/>
              </w:rPr>
              <w:t>供应商代表签字：</w:t>
            </w:r>
          </w:p>
          <w:p w14:paraId="7655D60E">
            <w:pPr>
              <w:spacing w:line="360" w:lineRule="auto"/>
              <w:jc w:val="left"/>
              <w:rPr>
                <w:sz w:val="24"/>
              </w:rPr>
            </w:pPr>
          </w:p>
          <w:p w14:paraId="5601E021">
            <w:pPr>
              <w:spacing w:line="360" w:lineRule="auto"/>
              <w:ind w:right="1081"/>
              <w:jc w:val="left"/>
              <w:rPr>
                <w:sz w:val="24"/>
              </w:rPr>
            </w:pPr>
          </w:p>
          <w:p w14:paraId="2100345F">
            <w:pPr>
              <w:spacing w:line="360" w:lineRule="auto"/>
              <w:ind w:right="1081"/>
              <w:jc w:val="left"/>
              <w:rPr>
                <w:sz w:val="24"/>
              </w:rPr>
            </w:pPr>
            <w:r>
              <w:rPr>
                <w:rFonts w:hint="eastAsia"/>
                <w:sz w:val="24"/>
              </w:rPr>
              <w:t xml:space="preserve">日期： </w:t>
            </w:r>
          </w:p>
        </w:tc>
        <w:tc>
          <w:tcPr>
            <w:tcW w:w="6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E5E6F2">
            <w:pPr>
              <w:spacing w:line="360" w:lineRule="auto"/>
              <w:jc w:val="left"/>
              <w:rPr>
                <w:sz w:val="24"/>
              </w:rPr>
            </w:pPr>
            <w:r>
              <w:rPr>
                <w:rFonts w:hint="eastAsia"/>
                <w:sz w:val="24"/>
              </w:rPr>
              <w:t>磋商</w:t>
            </w:r>
            <w:r>
              <w:rPr>
                <w:sz w:val="24"/>
              </w:rPr>
              <w:t>小组</w:t>
            </w:r>
            <w:r>
              <w:rPr>
                <w:rFonts w:hint="eastAsia"/>
                <w:sz w:val="24"/>
              </w:rPr>
              <w:t>全体成员</w:t>
            </w:r>
            <w:r>
              <w:rPr>
                <w:sz w:val="24"/>
              </w:rPr>
              <w:t>签字：</w:t>
            </w:r>
          </w:p>
          <w:p w14:paraId="51D9A1DD">
            <w:pPr>
              <w:spacing w:line="360" w:lineRule="auto"/>
              <w:jc w:val="left"/>
              <w:rPr>
                <w:sz w:val="24"/>
              </w:rPr>
            </w:pPr>
          </w:p>
          <w:p w14:paraId="25236DDC">
            <w:pPr>
              <w:spacing w:line="360" w:lineRule="auto"/>
              <w:ind w:right="1440"/>
              <w:rPr>
                <w:sz w:val="24"/>
              </w:rPr>
            </w:pPr>
          </w:p>
          <w:p w14:paraId="5B3A4AD7">
            <w:pPr>
              <w:spacing w:line="360" w:lineRule="auto"/>
              <w:ind w:right="1440"/>
              <w:rPr>
                <w:sz w:val="24"/>
              </w:rPr>
            </w:pPr>
            <w:r>
              <w:rPr>
                <w:rFonts w:hint="eastAsia"/>
                <w:sz w:val="24"/>
              </w:rPr>
              <w:t xml:space="preserve">日期： </w:t>
            </w:r>
            <w:r>
              <w:rPr>
                <w:sz w:val="24"/>
              </w:rPr>
              <w:t xml:space="preserve">   </w:t>
            </w:r>
          </w:p>
        </w:tc>
      </w:tr>
    </w:tbl>
    <w:p w14:paraId="0CD5218F">
      <w:pPr>
        <w:spacing w:line="360" w:lineRule="auto"/>
        <w:rPr>
          <w:rFonts w:ascii="宋体" w:hAnsi="宋体"/>
          <w:b/>
          <w:bCs/>
          <w:szCs w:val="21"/>
        </w:rPr>
      </w:pPr>
      <w:r>
        <w:rPr>
          <w:rFonts w:hint="eastAsia" w:ascii="宋体" w:hAnsi="宋体"/>
          <w:b/>
          <w:bCs/>
          <w:szCs w:val="21"/>
        </w:rPr>
        <w:t>说明：</w:t>
      </w:r>
    </w:p>
    <w:p w14:paraId="67753307">
      <w:pPr>
        <w:spacing w:line="360" w:lineRule="auto"/>
        <w:rPr>
          <w:rFonts w:ascii="宋体" w:hAnsi="宋体"/>
          <w:b/>
          <w:bCs/>
          <w:szCs w:val="21"/>
        </w:rPr>
      </w:pPr>
      <w:r>
        <w:rPr>
          <w:rFonts w:hint="eastAsia" w:ascii="宋体" w:hAnsi="宋体"/>
          <w:b/>
          <w:bCs/>
          <w:szCs w:val="21"/>
        </w:rPr>
        <w:t>1.本表不装订在响应文件内。（本表无须盖章）</w:t>
      </w:r>
    </w:p>
    <w:p w14:paraId="163389B5">
      <w:pPr>
        <w:spacing w:line="360" w:lineRule="auto"/>
        <w:rPr>
          <w:rFonts w:ascii="宋体" w:hAnsi="宋体"/>
          <w:b/>
          <w:bCs/>
          <w:szCs w:val="21"/>
        </w:rPr>
      </w:pPr>
      <w:r>
        <w:rPr>
          <w:rFonts w:hint="eastAsia" w:ascii="宋体" w:hAnsi="宋体"/>
          <w:b/>
          <w:bCs/>
          <w:szCs w:val="21"/>
        </w:rPr>
        <w:t>2.响应文件中的报价为一次报价，二次报价即为磋商后的最终报价。</w:t>
      </w:r>
    </w:p>
    <w:p w14:paraId="5236A963">
      <w:pPr>
        <w:spacing w:line="360" w:lineRule="auto"/>
        <w:rPr>
          <w:rFonts w:ascii="宋体" w:hAnsi="宋体" w:cs="宋体"/>
          <w:sz w:val="24"/>
        </w:rPr>
      </w:pPr>
    </w:p>
    <w:p w14:paraId="160D237E">
      <w:pPr>
        <w:pStyle w:val="66"/>
        <w:ind w:firstLine="482"/>
        <w:rPr>
          <w:rFonts w:ascii="宋体" w:hAnsi="宋体" w:cs="宋体"/>
          <w:b/>
          <w:lang w:val="zh-CN"/>
        </w:rPr>
      </w:pPr>
    </w:p>
    <w:sectPr>
      <w:headerReference r:id="rId31" w:type="first"/>
      <w:footerReference r:id="rId33" w:type="first"/>
      <w:headerReference r:id="rId29" w:type="default"/>
      <w:headerReference r:id="rId30" w:type="even"/>
      <w:footerReference r:id="rId32" w:type="even"/>
      <w:pgSz w:w="11907" w:h="16840"/>
      <w:pgMar w:top="1613" w:right="1800" w:bottom="1440" w:left="1800" w:header="964"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ì.">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Helvetica-Condensed-Bold">
    <w:altName w:val="黑体"/>
    <w:panose1 w:val="00000000000000000000"/>
    <w:charset w:val="86"/>
    <w:family w:val="auto"/>
    <w:pitch w:val="default"/>
    <w:sig w:usb0="00000000" w:usb1="00000000" w:usb2="00000010" w:usb3="00000000" w:csb0="00040000" w:csb1="00000000"/>
  </w:font>
  <w:font w:name="Ari">
    <w:altName w:val="Arial"/>
    <w:panose1 w:val="00000000000000000000"/>
    <w:charset w:val="00"/>
    <w:family w:val="auto"/>
    <w:pitch w:val="default"/>
    <w:sig w:usb0="00000000" w:usb1="00000000" w:usb2="00000000" w:usb3="00000000" w:csb0="00000001"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Sim Sun+ 2">
    <w:altName w:val="宋体"/>
    <w:panose1 w:val="00000000000000000000"/>
    <w:charset w:val="86"/>
    <w:family w:val="auto"/>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665054"/>
      <w:docPartObj>
        <w:docPartGallery w:val="autotext"/>
      </w:docPartObj>
    </w:sdtPr>
    <w:sdtContent>
      <w:p w14:paraId="73517BBD">
        <w:pPr>
          <w:pStyle w:val="43"/>
          <w:jc w:val="center"/>
        </w:pPr>
        <w:r>
          <w:fldChar w:fldCharType="begin"/>
        </w:r>
        <w:r>
          <w:instrText xml:space="preserve">PAGE   \* MERGEFORMAT</w:instrText>
        </w:r>
        <w:r>
          <w:fldChar w:fldCharType="separate"/>
        </w:r>
        <w:r>
          <w:rPr>
            <w:lang w:val="zh-CN"/>
          </w:rPr>
          <w:t>1</w:t>
        </w:r>
        <w:r>
          <w:fldChar w:fldCharType="end"/>
        </w:r>
      </w:p>
    </w:sdtContent>
  </w:sdt>
  <w:p w14:paraId="1DB71779">
    <w:pPr>
      <w:pStyle w:val="43"/>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6F135">
    <w:pPr>
      <w:pStyle w:val="43"/>
      <w:framePr w:wrap="around" w:vAnchor="text" w:hAnchor="margin" w:xAlign="right" w:y="1"/>
      <w:rPr>
        <w:rStyle w:val="75"/>
      </w:rPr>
    </w:pPr>
    <w:r>
      <w:fldChar w:fldCharType="begin"/>
    </w:r>
    <w:r>
      <w:rPr>
        <w:rStyle w:val="75"/>
      </w:rPr>
      <w:instrText xml:space="preserve">PAGE  </w:instrText>
    </w:r>
    <w:r>
      <w:fldChar w:fldCharType="end"/>
    </w:r>
  </w:p>
  <w:p w14:paraId="49305E89">
    <w:pPr>
      <w:pStyle w:val="43"/>
      <w:ind w:right="360"/>
    </w:pPr>
  </w:p>
  <w:p w14:paraId="5FA7974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99D2D">
    <w:pPr>
      <w:pStyle w:val="4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D1C4D">
    <w:pPr>
      <w:pStyle w:val="43"/>
      <w:framePr w:wrap="around" w:vAnchor="text" w:hAnchor="margin" w:xAlign="center" w:y="1"/>
      <w:rPr>
        <w:rStyle w:val="75"/>
      </w:rPr>
    </w:pPr>
    <w:r>
      <w:fldChar w:fldCharType="begin"/>
    </w:r>
    <w:r>
      <w:rPr>
        <w:rStyle w:val="75"/>
      </w:rPr>
      <w:instrText xml:space="preserve">PAGE  </w:instrText>
    </w:r>
    <w:r>
      <w:fldChar w:fldCharType="end"/>
    </w:r>
  </w:p>
  <w:p w14:paraId="3F63925C">
    <w:pPr>
      <w:pStyle w:val="4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98D0">
    <w:pPr>
      <w:pStyle w:val="4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2E35">
    <w:pPr>
      <w:pStyle w:val="43"/>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ADE0E">
    <w:pPr>
      <w:pStyle w:val="43"/>
      <w:jc w:val="center"/>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0DE7">
    <w:pPr>
      <w:pStyle w:val="43"/>
      <w:tabs>
        <w:tab w:val="center" w:pos="3969"/>
        <w:tab w:val="right" w:pos="9072"/>
        <w:tab w:val="clear" w:pos="4153"/>
        <w:tab w:val="clear" w:pos="8306"/>
      </w:tabs>
      <w:ind w:left="142"/>
      <w:jc w:val="center"/>
    </w:pPr>
    <w:r>
      <w:fldChar w:fldCharType="begin"/>
    </w:r>
    <w:r>
      <w:instrText xml:space="preserve">PAGE   \* MERGEFORMAT</w:instrText>
    </w:r>
    <w:r>
      <w:fldChar w:fldCharType="separate"/>
    </w:r>
    <w:r>
      <w:rPr>
        <w:lang w:val="zh-CN"/>
      </w:rPr>
      <w:t>23</w:t>
    </w:r>
    <w:r>
      <w:fldChar w:fldCharType="end"/>
    </w:r>
  </w:p>
  <w:p w14:paraId="0D1D2FDC">
    <w:pPr>
      <w:pStyle w:val="4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0C82">
    <w:pPr>
      <w:pStyle w:val="43"/>
      <w:jc w:val="center"/>
    </w:pPr>
    <w:r>
      <w:fldChar w:fldCharType="begin"/>
    </w:r>
    <w:r>
      <w:instrText xml:space="preserve"> PAGE   \* MERGEFORMAT </w:instrText>
    </w:r>
    <w:r>
      <w:fldChar w:fldCharType="separate"/>
    </w:r>
    <w:r>
      <w:rPr>
        <w:lang w:val="zh-CN"/>
      </w:rPr>
      <w:t>88</w:t>
    </w:r>
    <w:r>
      <w:rPr>
        <w:lang w:val="zh-CN"/>
      </w:rPr>
      <w:fldChar w:fldCharType="end"/>
    </w:r>
  </w:p>
  <w:p w14:paraId="0CB9C7FF">
    <w:pPr>
      <w:pStyle w:val="4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3D11">
    <w:pPr>
      <w:pStyle w:val="43"/>
      <w:tabs>
        <w:tab w:val="left" w:pos="3848"/>
        <w:tab w:val="center" w:pos="4156"/>
        <w:tab w:val="clear" w:pos="4153"/>
      </w:tabs>
    </w:pPr>
    <w:r>
      <w:tab/>
    </w:r>
    <w:r>
      <w:tab/>
    </w:r>
    <w:r>
      <w:fldChar w:fldCharType="begin"/>
    </w:r>
    <w:r>
      <w:instrText xml:space="preserve"> PAGE   \* MERGEFORMAT </w:instrText>
    </w:r>
    <w:r>
      <w:fldChar w:fldCharType="separate"/>
    </w:r>
    <w:r>
      <w:t>99</w:t>
    </w:r>
    <w:r>
      <w:fldChar w:fldCharType="end"/>
    </w:r>
  </w:p>
  <w:p w14:paraId="4FCA8174">
    <w:pPr>
      <w:pStyle w:val="43"/>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F9C88">
    <w:pPr>
      <w:pStyle w:val="43"/>
      <w:tabs>
        <w:tab w:val="left" w:pos="3848"/>
        <w:tab w:val="center" w:pos="4156"/>
        <w:tab w:val="clear" w:pos="4153"/>
      </w:tabs>
    </w:pPr>
    <w:r>
      <w:tab/>
    </w:r>
    <w:r>
      <w:tab/>
    </w:r>
    <w:r>
      <w:fldChar w:fldCharType="begin"/>
    </w:r>
    <w:r>
      <w:instrText xml:space="preserve"> PAGE   \* MERGEFORMAT </w:instrText>
    </w:r>
    <w:r>
      <w:fldChar w:fldCharType="separate"/>
    </w:r>
    <w:r>
      <w:t>130</w:t>
    </w:r>
    <w:r>
      <w:fldChar w:fldCharType="end"/>
    </w:r>
  </w:p>
  <w:p w14:paraId="5AB50EA8">
    <w:pPr>
      <w:pStyle w:val="4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B6D0">
    <w:pPr>
      <w:pStyle w:val="44"/>
      <w:jc w:val="right"/>
    </w:pPr>
    <w:r>
      <w:rPr>
        <w:rFonts w:hint="eastAsia" w:ascii="宋体" w:hAnsi="宋体"/>
      </w:rPr>
      <w:t>中国科学院软件研究所7号楼1</w:t>
    </w:r>
    <w:r>
      <w:rPr>
        <w:rFonts w:ascii="宋体" w:hAnsi="宋体"/>
      </w:rPr>
      <w:t>0</w:t>
    </w:r>
    <w:r>
      <w:rPr>
        <w:rFonts w:hint="eastAsia" w:ascii="宋体" w:hAnsi="宋体"/>
      </w:rPr>
      <w:t>层装修改造项目竞争性磋商文件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12A6">
    <w:pPr>
      <w:pStyle w:val="4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692A3">
    <w:pPr>
      <w:pStyle w:val="44"/>
      <w:jc w:val="right"/>
    </w:pPr>
    <w:r>
      <w:drawing>
        <wp:inline distT="0" distB="0" distL="114300" distR="114300">
          <wp:extent cx="1274445" cy="551815"/>
          <wp:effectExtent l="0" t="0" r="1905" b="635"/>
          <wp:docPr id="1163967420" name="图片 3" descr="QQ图片2016050310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67420" name="图片 3" descr="QQ图片20160503104319"/>
                  <pic:cNvPicPr>
                    <a:picLocks noChangeAspect="1"/>
                  </pic:cNvPicPr>
                </pic:nvPicPr>
                <pic:blipFill>
                  <a:blip r:embed="rId1"/>
                  <a:stretch>
                    <a:fillRect/>
                  </a:stretch>
                </pic:blipFill>
                <pic:spPr>
                  <a:xfrm>
                    <a:off x="0" y="0"/>
                    <a:ext cx="1274445" cy="551815"/>
                  </a:xfrm>
                  <a:prstGeom prst="rect">
                    <a:avLst/>
                  </a:prstGeom>
                  <a:noFill/>
                  <a:ln>
                    <a:noFill/>
                  </a:ln>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7DD5">
    <w:pPr>
      <w:pStyle w:val="44"/>
      <w:ind w:firstLine="480"/>
      <w:jc w:val="right"/>
      <w:rPr>
        <w:rFonts w:ascii="宋体" w:hAnsi="宋体"/>
      </w:rPr>
    </w:pPr>
  </w:p>
  <w:p w14:paraId="3ADC1527">
    <w:pPr>
      <w:pStyle w:val="44"/>
      <w:ind w:firstLine="480"/>
      <w:jc w:val="right"/>
    </w:pPr>
    <w:r>
      <w:rPr>
        <w:rFonts w:hint="eastAsia" w:ascii="宋体" w:hAnsi="宋体"/>
      </w:rPr>
      <w:t>中国科学院软件研究所7号楼10层装修改造项目竞争性磋商文件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973B1">
    <w:pPr>
      <w:pStyle w:val="4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ECCE">
    <w:pPr>
      <w:pStyle w:val="4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C6FB2">
    <w:pPr>
      <w:pStyle w:val="44"/>
      <w:ind w:right="180"/>
      <w:jc w:val="right"/>
      <w:rPr>
        <w:rFonts w:ascii="宋体" w:hAnsi="宋体"/>
      </w:rPr>
    </w:pPr>
  </w:p>
  <w:p w14:paraId="023663AF">
    <w:pPr>
      <w:pStyle w:val="44"/>
      <w:ind w:right="180"/>
      <w:jc w:val="right"/>
    </w:pPr>
    <w:r>
      <w:rPr>
        <w:rFonts w:hint="eastAsia" w:ascii="宋体" w:hAnsi="宋体"/>
      </w:rPr>
      <w:t>中国科学院软件研究所7号楼10层装修改造项目竞争性磋商文件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672D">
    <w:pPr>
      <w:pStyle w:val="4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12B2">
    <w:pPr>
      <w:pStyle w:val="44"/>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F47D">
    <w:pPr>
      <w:pStyle w:val="44"/>
      <w:jc w:val="right"/>
    </w:pPr>
    <w:r>
      <w:rPr>
        <w:rFonts w:hint="eastAsia" w:ascii="宋体" w:hAnsi="宋体"/>
      </w:rPr>
      <w:t>中国科学院软件研究所7号楼10层装修改造项目竞争性磋商文件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64681">
    <w:pPr>
      <w:pStyle w:val="44"/>
    </w:pPr>
  </w:p>
  <w:p w14:paraId="253B7E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6020F">
    <w:pPr>
      <w:pStyle w:val="44"/>
      <w:pBdr>
        <w:bottom w:val="single" w:color="auto" w:sz="4" w:space="1"/>
      </w:pBdr>
      <w:jc w:val="right"/>
    </w:pPr>
    <w:r>
      <w:rPr>
        <w:rFonts w:hint="eastAsia" w:ascii="宋体" w:hAnsi="宋体"/>
      </w:rPr>
      <w:t>中国科学院软件研究所7号楼1</w:t>
    </w:r>
    <w:r>
      <w:rPr>
        <w:rFonts w:ascii="宋体" w:hAnsi="宋体"/>
      </w:rPr>
      <w:t>0</w:t>
    </w:r>
    <w:r>
      <w:rPr>
        <w:rFonts w:hint="eastAsia" w:ascii="宋体" w:hAnsi="宋体"/>
      </w:rPr>
      <w:t>层装修改造项目竞争性磋商文件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A581">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693B">
    <w:pPr>
      <w:pStyle w:val="44"/>
      <w:jc w:val="right"/>
    </w:pPr>
    <w:r>
      <w:rPr>
        <w:rFonts w:hint="eastAsia" w:ascii="宋体" w:hAnsi="宋体"/>
      </w:rPr>
      <w:t>中国科学院软件研究所7号楼1</w:t>
    </w:r>
    <w:r>
      <w:rPr>
        <w:rFonts w:ascii="宋体" w:hAnsi="宋体"/>
      </w:rPr>
      <w:t>0</w:t>
    </w:r>
    <w:r>
      <w:rPr>
        <w:rFonts w:hint="eastAsia" w:ascii="宋体" w:hAnsi="宋体"/>
      </w:rPr>
      <w:t>层装修改造项目竞争性磋商文件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63B5D">
    <w:pPr>
      <w:pStyle w:val="4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4A6E1">
    <w:pPr>
      <w:pStyle w:val="44"/>
      <w:jc w:val="right"/>
    </w:pPr>
    <w:r>
      <w:rPr>
        <w:rFonts w:hint="eastAsia" w:ascii="宋体" w:hAnsi="宋体"/>
      </w:rPr>
      <w:t>中国科学院软件研究所7号楼1</w:t>
    </w:r>
    <w:r>
      <w:rPr>
        <w:rFonts w:ascii="宋体" w:hAnsi="宋体"/>
      </w:rPr>
      <w:t>0</w:t>
    </w:r>
    <w:r>
      <w:rPr>
        <w:rFonts w:hint="eastAsia" w:ascii="宋体" w:hAnsi="宋体"/>
      </w:rPr>
      <w:t>层装修改造项目竞争性磋商文件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5FE29">
    <w:pPr>
      <w:pStyle w:val="44"/>
      <w:jc w:val="right"/>
    </w:pPr>
    <w:r>
      <w:rPr>
        <w:rFonts w:hint="eastAsia" w:ascii="宋体" w:hAnsi="宋体"/>
      </w:rPr>
      <w:t>中国科学院软件研究所7号楼10层装修改造项目竞争性磋商文件</w:t>
    </w:r>
  </w:p>
  <w:p w14:paraId="0CD3755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ABE4">
    <w:pPr>
      <w:spacing w:line="200" w:lineRule="exact"/>
      <w:rPr>
        <w:sz w:val="20"/>
        <w:szCs w:val="20"/>
      </w:rPr>
    </w:pPr>
    <w:r>
      <mc:AlternateContent>
        <mc:Choice Requires="wpg">
          <w:drawing>
            <wp:anchor distT="0" distB="0" distL="114300" distR="114300" simplePos="0" relativeHeight="251659264" behindDoc="1" locked="0" layoutInCell="1" allowOverlap="1">
              <wp:simplePos x="0" y="0"/>
              <wp:positionH relativeFrom="page">
                <wp:posOffset>1113790</wp:posOffset>
              </wp:positionH>
              <wp:positionV relativeFrom="page">
                <wp:posOffset>701675</wp:posOffset>
              </wp:positionV>
              <wp:extent cx="5335270" cy="38100"/>
              <wp:effectExtent l="0" t="0" r="8255" b="635"/>
              <wp:wrapNone/>
              <wp:docPr id="1" name="组合 227"/>
              <wp:cNvGraphicFramePr/>
              <a:graphic xmlns:a="http://schemas.openxmlformats.org/drawingml/2006/main">
                <a:graphicData uri="http://schemas.microsoft.com/office/word/2010/wordprocessingGroup">
                  <wpg:wgp>
                    <wpg:cNvGrpSpPr/>
                    <wpg:grpSpPr>
                      <a:xfrm>
                        <a:off x="0" y="0"/>
                        <a:ext cx="5335270" cy="38100"/>
                        <a:chOff x="1754" y="1105"/>
                        <a:chExt cx="8402" cy="60"/>
                      </a:xfrm>
                      <a:effectLst/>
                    </wpg:grpSpPr>
                    <wpg:grpSp>
                      <wpg:cNvPr id="228" name="Group 14"/>
                      <wpg:cNvGrpSpPr/>
                      <wpg:grpSpPr>
                        <a:xfrm>
                          <a:off x="1769" y="1157"/>
                          <a:ext cx="8371" cy="2"/>
                          <a:chOff x="1769" y="1157"/>
                          <a:chExt cx="8371" cy="2"/>
                        </a:xfrm>
                        <a:effectLst/>
                      </wpg:grpSpPr>
                      <wps:wsp>
                        <wps:cNvPr id="229" name="Freeform 15"/>
                        <wps:cNvSpPr/>
                        <wps:spPr bwMode="auto">
                          <a:xfrm>
                            <a:off x="1769" y="1157"/>
                            <a:ext cx="8371" cy="2"/>
                          </a:xfrm>
                          <a:custGeom>
                            <a:avLst/>
                            <a:gdLst>
                              <a:gd name="T0" fmla="+- 0 1769 1769"/>
                              <a:gd name="T1" fmla="*/ T0 w 8371"/>
                              <a:gd name="T2" fmla="+- 0 10140 1769"/>
                              <a:gd name="T3" fmla="*/ T2 w 8371"/>
                            </a:gdLst>
                            <a:ahLst/>
                            <a:cxnLst>
                              <a:cxn ang="0">
                                <a:pos x="T1" y="0"/>
                              </a:cxn>
                              <a:cxn ang="0">
                                <a:pos x="T3" y="0"/>
                              </a:cxn>
                            </a:cxnLst>
                            <a:rect l="0" t="0" r="r" b="b"/>
                            <a:pathLst>
                              <a:path w="8371">
                                <a:moveTo>
                                  <a:pt x="0" y="0"/>
                                </a:moveTo>
                                <a:lnTo>
                                  <a:pt x="8371" y="0"/>
                                </a:lnTo>
                              </a:path>
                            </a:pathLst>
                          </a:custGeom>
                          <a:noFill/>
                          <a:ln w="10414">
                            <a:solidFill>
                              <a:srgbClr val="000000"/>
                            </a:solidFill>
                            <a:round/>
                          </a:ln>
                          <a:effectLst/>
                        </wps:spPr>
                        <wps:bodyPr rot="0" vert="horz" wrap="square" lIns="91440" tIns="45720" rIns="91440" bIns="45720" anchor="t" anchorCtr="0" upright="1">
                          <a:noAutofit/>
                        </wps:bodyPr>
                      </wps:wsp>
                    </wpg:grpSp>
                    <wpg:grpSp>
                      <wpg:cNvPr id="230" name="Group 16"/>
                      <wpg:cNvGrpSpPr/>
                      <wpg:grpSpPr>
                        <a:xfrm>
                          <a:off x="1769" y="1121"/>
                          <a:ext cx="8371" cy="2"/>
                          <a:chOff x="1769" y="1121"/>
                          <a:chExt cx="8371" cy="2"/>
                        </a:xfrm>
                        <a:effectLst/>
                      </wpg:grpSpPr>
                      <wps:wsp>
                        <wps:cNvPr id="231" name="Freeform 17"/>
                        <wps:cNvSpPr/>
                        <wps:spPr bwMode="auto">
                          <a:xfrm>
                            <a:off x="1769" y="1121"/>
                            <a:ext cx="8371" cy="2"/>
                          </a:xfrm>
                          <a:custGeom>
                            <a:avLst/>
                            <a:gdLst>
                              <a:gd name="T0" fmla="+- 0 1769 1769"/>
                              <a:gd name="T1" fmla="*/ T0 w 8371"/>
                              <a:gd name="T2" fmla="+- 0 10140 1769"/>
                              <a:gd name="T3" fmla="*/ T2 w 8371"/>
                            </a:gdLst>
                            <a:ahLst/>
                            <a:cxnLst>
                              <a:cxn ang="0">
                                <a:pos x="T1" y="0"/>
                              </a:cxn>
                              <a:cxn ang="0">
                                <a:pos x="T3" y="0"/>
                              </a:cxn>
                            </a:cxnLst>
                            <a:rect l="0" t="0" r="r" b="b"/>
                            <a:pathLst>
                              <a:path w="8371">
                                <a:moveTo>
                                  <a:pt x="0" y="0"/>
                                </a:moveTo>
                                <a:lnTo>
                                  <a:pt x="8371" y="0"/>
                                </a:lnTo>
                              </a:path>
                            </a:pathLst>
                          </a:custGeom>
                          <a:noFill/>
                          <a:ln w="19558">
                            <a:solidFill>
                              <a:srgbClr val="000000"/>
                            </a:solidFill>
                            <a:round/>
                          </a:ln>
                          <a:effectLst/>
                        </wps:spPr>
                        <wps:bodyPr rot="0" vert="horz" wrap="square" lIns="91440" tIns="45720" rIns="91440" bIns="45720" anchor="t" anchorCtr="0" upright="1">
                          <a:noAutofit/>
                        </wps:bodyPr>
                      </wps:wsp>
                    </wpg:grpSp>
                  </wpg:wgp>
                </a:graphicData>
              </a:graphic>
            </wp:anchor>
          </w:drawing>
        </mc:Choice>
        <mc:Fallback>
          <w:pict>
            <v:group id="组合 227" o:spid="_x0000_s1026" o:spt="203" style="position:absolute;left:0pt;margin-left:87.7pt;margin-top:55.25pt;height:3pt;width:420.1pt;mso-position-horizontal-relative:page;mso-position-vertical-relative:page;z-index:-251657216;mso-width-relative:page;mso-height-relative:page;" coordorigin="1754,1105" coordsize="8402,60" o:gfxdata="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mmKTJdkAAAAMAQAADwAA&#10;AAAAAAABACAAAAAiAAAAZHJzL2Rvd25yZXYueG1sUEsBAhQAFAAAAAgAh07iQDPv2pGkAwAAgw0A&#10;AA4AAAAAAAAAAQAgAAAAKAEAAGRycy9lMm9Eb2MueG1sUEsFBgAAAAAGAAYAWQEAAD4HAAAAAA==&#10;">
              <o:lock v:ext="edit" aspectratio="f"/>
              <v:group id="Group 14" o:spid="_x0000_s1026" o:spt="203" style="position:absolute;left:1769;top:1157;height:2;width:8371;" coordorigin="1769,1157" coordsize="8371,2"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shape id="Freeform 15" o:spid="_x0000_s1026" o:spt="100" style="position:absolute;left:1769;top:1157;height:2;width:8371;" filled="f" stroked="t" coordsize="8371,1" o:gfxdata="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bE2/&#10;AAAA3AAAAA8AAAAAAAAAAQAgAAAAIgAAAGRycy9kb3ducmV2LnhtbFBLAQIUABQAAAAIAIdO4kAz&#10;LwWeOwAAADkAAAAQAAAAAAAAAAEAIAAAAA4BAABkcnMvc2hhcGV4bWwueG1sUEsFBgAAAAAGAAYA&#10;WwEAALgDAAAAAA==&#10;" path="m0,0l8371,0e">
                  <v:path o:connectlocs="0,0;8371,0" o:connectangles="0,0"/>
                  <v:fill on="f" focussize="0,0"/>
                  <v:stroke weight="0.82pt" color="#000000" joinstyle="round"/>
                  <v:imagedata o:title=""/>
                  <o:lock v:ext="edit" aspectratio="f"/>
                </v:shape>
              </v:group>
              <v:group id="Group 16" o:spid="_x0000_s1026" o:spt="203" style="position:absolute;left:1769;top:1121;height:2;width:8371;" coordorigin="1769,1121" coordsize="8371,2"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shape id="Freeform 17" o:spid="_x0000_s1026" o:spt="100" style="position:absolute;left:1769;top:1121;height:2;width:8371;" filled="f" stroked="t" coordsize="8371,1" o:gfxdata="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LGH7sAAADc&#10;AAAADwAAAAAAAAABACAAAAAiAAAAZHJzL2Rvd25yZXYueG1sUEsBAhQAFAAAAAgAh07iQDMvBZ47&#10;AAAAOQAAABAAAAAAAAAAAQAgAAAACgEAAGRycy9zaGFwZXhtbC54bWxQSwUGAAAAAAYABgBbAQAA&#10;tAMAAAAA&#10;" path="m0,0l8371,0e">
                  <v:path o:connectlocs="0,0;8371,0" o:connectangles="0,0"/>
                  <v:fill on="f" focussize="0,0"/>
                  <v:stroke weight="1.54pt" color="#000000" joinstyle="round"/>
                  <v:imagedata o:title=""/>
                  <o:lock v:ext="edit" aspectratio="f"/>
                </v:shape>
              </v:group>
            </v:group>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1129030</wp:posOffset>
              </wp:positionH>
              <wp:positionV relativeFrom="page">
                <wp:posOffset>546100</wp:posOffset>
              </wp:positionV>
              <wp:extent cx="3943985" cy="146050"/>
              <wp:effectExtent l="0" t="0" r="0" b="0"/>
              <wp:wrapNone/>
              <wp:docPr id="7"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3943985" cy="146050"/>
                      </a:xfrm>
                      <a:prstGeom prst="rect">
                        <a:avLst/>
                      </a:prstGeom>
                      <a:noFill/>
                      <a:ln>
                        <a:noFill/>
                      </a:ln>
                      <a:effectLst/>
                    </wps:spPr>
                    <wps:txbx>
                      <w:txbxContent>
                        <w:p w14:paraId="3B5D1CBA">
                          <w:pPr>
                            <w:spacing w:line="214" w:lineRule="exact"/>
                            <w:ind w:left="20" w:right="-48"/>
                            <w:rPr>
                              <w:rFonts w:ascii="宋体" w:hAnsi="宋体" w:cs="宋体"/>
                              <w:sz w:val="18"/>
                              <w:szCs w:val="18"/>
                            </w:rPr>
                          </w:pPr>
                          <w:r>
                            <w:rPr>
                              <w:rFonts w:eastAsia="Times New Roman"/>
                              <w:spacing w:val="1"/>
                              <w:sz w:val="18"/>
                              <w:szCs w:val="18"/>
                            </w:rPr>
                            <w:t>.</w:t>
                          </w:r>
                          <w:r>
                            <w:fldChar w:fldCharType="begin"/>
                          </w:r>
                          <w:r>
                            <w:rPr>
                              <w:rFonts w:eastAsia="Times New Roman"/>
                              <w:sz w:val="18"/>
                              <w:szCs w:val="18"/>
                            </w:rPr>
                            <w:instrText xml:space="preserve"> PAGE </w:instrText>
                          </w:r>
                          <w:r>
                            <w:fldChar w:fldCharType="separate"/>
                          </w:r>
                          <w:r>
                            <w:t>240</w:t>
                          </w:r>
                          <w:r>
                            <w:fldChar w:fldCharType="end"/>
                          </w:r>
                          <w:r>
                            <w:rPr>
                              <w:rFonts w:eastAsia="Times New Roman"/>
                              <w:sz w:val="18"/>
                              <w:szCs w:val="18"/>
                            </w:rPr>
                            <w:t xml:space="preserve">. </w:t>
                          </w:r>
                          <w:r>
                            <w:rPr>
                              <w:rFonts w:ascii="宋体" w:hAnsi="宋体" w:cs="宋体"/>
                              <w:sz w:val="18"/>
                              <w:szCs w:val="18"/>
                            </w:rPr>
                            <w:t>北京市房屋建筑和市政</w:t>
                          </w:r>
                          <w:r>
                            <w:rPr>
                              <w:rFonts w:ascii="宋体" w:hAnsi="宋体" w:cs="宋体"/>
                              <w:spacing w:val="-2"/>
                              <w:sz w:val="18"/>
                              <w:szCs w:val="18"/>
                            </w:rPr>
                            <w:t>工</w:t>
                          </w:r>
                          <w:r>
                            <w:rPr>
                              <w:rFonts w:ascii="宋体" w:hAnsi="宋体" w:cs="宋体"/>
                              <w:sz w:val="18"/>
                              <w:szCs w:val="18"/>
                            </w:rPr>
                            <w:t>程施工招标文件标准文本</w:t>
                          </w:r>
                          <w:r>
                            <w:rPr>
                              <w:rFonts w:ascii="宋体" w:hAnsi="宋体" w:cs="宋体"/>
                              <w:spacing w:val="1"/>
                              <w:sz w:val="18"/>
                              <w:szCs w:val="18"/>
                            </w:rPr>
                            <w:t>（</w:t>
                          </w:r>
                          <w:r>
                            <w:rPr>
                              <w:rFonts w:eastAsia="Times New Roman"/>
                              <w:spacing w:val="1"/>
                              <w:sz w:val="18"/>
                              <w:szCs w:val="18"/>
                            </w:rPr>
                            <w:t>20</w:t>
                          </w:r>
                          <w:r>
                            <w:rPr>
                              <w:rFonts w:eastAsia="Times New Roman"/>
                              <w:spacing w:val="-1"/>
                              <w:sz w:val="18"/>
                              <w:szCs w:val="18"/>
                            </w:rPr>
                            <w:t>1</w:t>
                          </w:r>
                          <w:r>
                            <w:rPr>
                              <w:rFonts w:eastAsia="Times New Roman"/>
                              <w:sz w:val="18"/>
                              <w:szCs w:val="18"/>
                            </w:rPr>
                            <w:t>7</w:t>
                          </w:r>
                          <w:r>
                            <w:rPr>
                              <w:rFonts w:ascii="宋体" w:hAnsi="宋体" w:cs="宋体"/>
                              <w:sz w:val="18"/>
                              <w:szCs w:val="18"/>
                            </w:rPr>
                            <w:t>版）专用部分</w:t>
                          </w:r>
                        </w:p>
                      </w:txbxContent>
                    </wps:txbx>
                    <wps:bodyPr rot="0" vert="horz" wrap="square" lIns="0" tIns="0" rIns="0" bIns="0" anchor="t" anchorCtr="0" upright="1">
                      <a:noAutofit/>
                    </wps:bodyPr>
                  </wps:wsp>
                </a:graphicData>
              </a:graphic>
            </wp:anchor>
          </w:drawing>
        </mc:Choice>
        <mc:Fallback>
          <w:pict>
            <v:shape id="文本框 226" o:spid="_x0000_s1026" o:spt="202" type="#_x0000_t202" style="position:absolute;left:0pt;margin-left:88.9pt;margin-top:43pt;height:11.5pt;width:310.55pt;mso-position-horizontal-relative:page;mso-position-vertical-relative:page;z-index:-251656192;mso-width-relative:page;mso-height-relative:page;" filled="f" stroked="f" coordsize="21600,21600" o:gfxdata="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lZHbWAAAACgEAAA8AAAAA&#10;AAAAAQAgAAAAIgAAAGRycy9kb3ducmV2LnhtbFBLAQIUABQAAAAIAIdO4kCHUzyrFgIAABUEAAAO&#10;AAAAAAAAAAEAIAAAACUBAABkcnMvZTJvRG9jLnhtbFBLBQYAAAAABgAGAFkBAACtBQAAAAA=&#10;">
              <v:fill on="f" focussize="0,0"/>
              <v:stroke on="f"/>
              <v:imagedata o:title=""/>
              <o:lock v:ext="edit" aspectratio="f"/>
              <v:textbox inset="0mm,0mm,0mm,0mm">
                <w:txbxContent>
                  <w:p w14:paraId="3B5D1CBA">
                    <w:pPr>
                      <w:spacing w:line="214" w:lineRule="exact"/>
                      <w:ind w:left="20" w:right="-48"/>
                      <w:rPr>
                        <w:rFonts w:ascii="宋体" w:hAnsi="宋体" w:cs="宋体"/>
                        <w:sz w:val="18"/>
                        <w:szCs w:val="18"/>
                      </w:rPr>
                    </w:pPr>
                    <w:r>
                      <w:rPr>
                        <w:rFonts w:eastAsia="Times New Roman"/>
                        <w:spacing w:val="1"/>
                        <w:sz w:val="18"/>
                        <w:szCs w:val="18"/>
                      </w:rPr>
                      <w:t>.</w:t>
                    </w:r>
                    <w:r>
                      <w:fldChar w:fldCharType="begin"/>
                    </w:r>
                    <w:r>
                      <w:rPr>
                        <w:rFonts w:eastAsia="Times New Roman"/>
                        <w:sz w:val="18"/>
                        <w:szCs w:val="18"/>
                      </w:rPr>
                      <w:instrText xml:space="preserve"> PAGE </w:instrText>
                    </w:r>
                    <w:r>
                      <w:fldChar w:fldCharType="separate"/>
                    </w:r>
                    <w:r>
                      <w:t>240</w:t>
                    </w:r>
                    <w:r>
                      <w:fldChar w:fldCharType="end"/>
                    </w:r>
                    <w:r>
                      <w:rPr>
                        <w:rFonts w:eastAsia="Times New Roman"/>
                        <w:sz w:val="18"/>
                        <w:szCs w:val="18"/>
                      </w:rPr>
                      <w:t xml:space="preserve">. </w:t>
                    </w:r>
                    <w:r>
                      <w:rPr>
                        <w:rFonts w:ascii="宋体" w:hAnsi="宋体" w:cs="宋体"/>
                        <w:sz w:val="18"/>
                        <w:szCs w:val="18"/>
                      </w:rPr>
                      <w:t>北京市房屋建筑和市政</w:t>
                    </w:r>
                    <w:r>
                      <w:rPr>
                        <w:rFonts w:ascii="宋体" w:hAnsi="宋体" w:cs="宋体"/>
                        <w:spacing w:val="-2"/>
                        <w:sz w:val="18"/>
                        <w:szCs w:val="18"/>
                      </w:rPr>
                      <w:t>工</w:t>
                    </w:r>
                    <w:r>
                      <w:rPr>
                        <w:rFonts w:ascii="宋体" w:hAnsi="宋体" w:cs="宋体"/>
                        <w:sz w:val="18"/>
                        <w:szCs w:val="18"/>
                      </w:rPr>
                      <w:t>程施工招标文件标准文本</w:t>
                    </w:r>
                    <w:r>
                      <w:rPr>
                        <w:rFonts w:ascii="宋体" w:hAnsi="宋体" w:cs="宋体"/>
                        <w:spacing w:val="1"/>
                        <w:sz w:val="18"/>
                        <w:szCs w:val="18"/>
                      </w:rPr>
                      <w:t>（</w:t>
                    </w:r>
                    <w:r>
                      <w:rPr>
                        <w:rFonts w:eastAsia="Times New Roman"/>
                        <w:spacing w:val="1"/>
                        <w:sz w:val="18"/>
                        <w:szCs w:val="18"/>
                      </w:rPr>
                      <w:t>20</w:t>
                    </w:r>
                    <w:r>
                      <w:rPr>
                        <w:rFonts w:eastAsia="Times New Roman"/>
                        <w:spacing w:val="-1"/>
                        <w:sz w:val="18"/>
                        <w:szCs w:val="18"/>
                      </w:rPr>
                      <w:t>1</w:t>
                    </w:r>
                    <w:r>
                      <w:rPr>
                        <w:rFonts w:eastAsia="Times New Roman"/>
                        <w:sz w:val="18"/>
                        <w:szCs w:val="18"/>
                      </w:rPr>
                      <w:t>7</w:t>
                    </w:r>
                    <w:r>
                      <w:rPr>
                        <w:rFonts w:ascii="宋体" w:hAnsi="宋体" w:cs="宋体"/>
                        <w:sz w:val="18"/>
                        <w:szCs w:val="18"/>
                      </w:rPr>
                      <w:t>版）专用部分</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01882">
    <w:pPr>
      <w:pStyle w:val="4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9A21">
    <w:pPr>
      <w:pStyle w:val="44"/>
      <w:jc w:val="right"/>
      <w:rPr>
        <w:rFonts w:ascii="宋体" w:hAnsi="宋体"/>
      </w:rPr>
    </w:pPr>
  </w:p>
  <w:p w14:paraId="531B697D">
    <w:pPr>
      <w:pStyle w:val="44"/>
      <w:jc w:val="right"/>
    </w:pPr>
    <w:r>
      <w:rPr>
        <w:rFonts w:hint="eastAsia" w:ascii="宋体" w:hAnsi="宋体"/>
      </w:rPr>
      <w:t>中国科学院软件研究所7号楼10层装修改造项目竞争性磋商文件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1">
    <w:nsid w:val="00000004"/>
    <w:multiLevelType w:val="multilevel"/>
    <w:tmpl w:val="00000004"/>
    <w:lvl w:ilvl="0" w:tentative="0">
      <w:start w:val="1"/>
      <w:numFmt w:val="japaneseCounting"/>
      <w:lvlText w:val="第%1章"/>
      <w:lvlJc w:val="left"/>
      <w:pPr>
        <w:tabs>
          <w:tab w:val="left" w:pos="5083"/>
        </w:tabs>
        <w:ind w:left="5083" w:hanging="1140"/>
      </w:pPr>
      <w:rPr>
        <w:rFonts w:hint="eastAsia"/>
      </w:rPr>
    </w:lvl>
    <w:lvl w:ilvl="1" w:tentative="0">
      <w:start w:val="1"/>
      <w:numFmt w:val="lowerLetter"/>
      <w:lvlText w:val="%2)"/>
      <w:lvlJc w:val="left"/>
      <w:pPr>
        <w:tabs>
          <w:tab w:val="left" w:pos="4783"/>
        </w:tabs>
        <w:ind w:left="4783" w:hanging="420"/>
      </w:pPr>
    </w:lvl>
    <w:lvl w:ilvl="2" w:tentative="0">
      <w:start w:val="1"/>
      <w:numFmt w:val="lowerRoman"/>
      <w:lvlText w:val="%3."/>
      <w:lvlJc w:val="right"/>
      <w:pPr>
        <w:tabs>
          <w:tab w:val="left" w:pos="5203"/>
        </w:tabs>
        <w:ind w:left="5203" w:hanging="420"/>
      </w:pPr>
    </w:lvl>
    <w:lvl w:ilvl="3" w:tentative="0">
      <w:start w:val="1"/>
      <w:numFmt w:val="decimal"/>
      <w:lvlText w:val="%4."/>
      <w:lvlJc w:val="left"/>
      <w:pPr>
        <w:tabs>
          <w:tab w:val="left" w:pos="5623"/>
        </w:tabs>
        <w:ind w:left="5623" w:hanging="420"/>
      </w:pPr>
    </w:lvl>
    <w:lvl w:ilvl="4" w:tentative="0">
      <w:start w:val="1"/>
      <w:numFmt w:val="lowerLetter"/>
      <w:lvlText w:val="%5)"/>
      <w:lvlJc w:val="left"/>
      <w:pPr>
        <w:tabs>
          <w:tab w:val="left" w:pos="6043"/>
        </w:tabs>
        <w:ind w:left="6043" w:hanging="420"/>
      </w:pPr>
    </w:lvl>
    <w:lvl w:ilvl="5" w:tentative="0">
      <w:start w:val="1"/>
      <w:numFmt w:val="lowerRoman"/>
      <w:lvlText w:val="%6."/>
      <w:lvlJc w:val="right"/>
      <w:pPr>
        <w:tabs>
          <w:tab w:val="left" w:pos="6463"/>
        </w:tabs>
        <w:ind w:left="6463" w:hanging="420"/>
      </w:pPr>
    </w:lvl>
    <w:lvl w:ilvl="6" w:tentative="0">
      <w:start w:val="1"/>
      <w:numFmt w:val="decimal"/>
      <w:lvlText w:val="%7."/>
      <w:lvlJc w:val="left"/>
      <w:pPr>
        <w:tabs>
          <w:tab w:val="left" w:pos="6883"/>
        </w:tabs>
        <w:ind w:left="6883" w:hanging="420"/>
      </w:pPr>
    </w:lvl>
    <w:lvl w:ilvl="7" w:tentative="0">
      <w:start w:val="1"/>
      <w:numFmt w:val="lowerLetter"/>
      <w:lvlText w:val="%8)"/>
      <w:lvlJc w:val="left"/>
      <w:pPr>
        <w:tabs>
          <w:tab w:val="left" w:pos="7303"/>
        </w:tabs>
        <w:ind w:left="7303" w:hanging="420"/>
      </w:pPr>
    </w:lvl>
    <w:lvl w:ilvl="8" w:tentative="0">
      <w:start w:val="1"/>
      <w:numFmt w:val="lowerRoman"/>
      <w:lvlText w:val="%9."/>
      <w:lvlJc w:val="right"/>
      <w:pPr>
        <w:tabs>
          <w:tab w:val="left" w:pos="7723"/>
        </w:tabs>
        <w:ind w:left="7723" w:hanging="420"/>
      </w:pPr>
    </w:lvl>
  </w:abstractNum>
  <w:abstractNum w:abstractNumId="2">
    <w:nsid w:val="0000000A"/>
    <w:multiLevelType w:val="multilevel"/>
    <w:tmpl w:val="0000000A"/>
    <w:lvl w:ilvl="0" w:tentative="0">
      <w:start w:val="1"/>
      <w:numFmt w:val="decimal"/>
      <w:pStyle w:val="34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B"/>
    <w:multiLevelType w:val="multilevel"/>
    <w:tmpl w:val="0000000B"/>
    <w:lvl w:ilvl="0" w:tentative="0">
      <w:start w:val="1"/>
      <w:numFmt w:val="decimal"/>
      <w:lvlText w:val="%1)"/>
      <w:lvlJc w:val="left"/>
      <w:pPr>
        <w:tabs>
          <w:tab w:val="left" w:pos="840"/>
        </w:tabs>
        <w:ind w:left="840" w:hanging="420"/>
      </w:pPr>
      <w:rPr>
        <w:rFonts w:hint="default"/>
      </w:rPr>
    </w:lvl>
    <w:lvl w:ilvl="1" w:tentative="0">
      <w:start w:val="1"/>
      <w:numFmt w:val="decimal"/>
      <w:lvlText w:val="%2."/>
      <w:lvlJc w:val="left"/>
      <w:pPr>
        <w:tabs>
          <w:tab w:val="left" w:pos="1440"/>
        </w:tabs>
        <w:ind w:left="1440" w:hanging="360"/>
      </w:pPr>
    </w:lvl>
    <w:lvl w:ilvl="2" w:tentative="0">
      <w:start w:val="1"/>
      <w:numFmt w:val="decimal"/>
      <w:pStyle w:val="537"/>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multilevel"/>
    <w:tmpl w:val="0000000D"/>
    <w:lvl w:ilvl="0" w:tentative="0">
      <w:start w:val="1"/>
      <w:numFmt w:val="lowerLetter"/>
      <w:pStyle w:val="34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E"/>
    <w:multiLevelType w:val="multilevel"/>
    <w:tmpl w:val="0000000E"/>
    <w:lvl w:ilvl="0" w:tentative="0">
      <w:start w:val="1"/>
      <w:numFmt w:val="decimal"/>
      <w:pStyle w:val="515"/>
      <w:lvlText w:val="%1."/>
      <w:lvlJc w:val="left"/>
      <w:pPr>
        <w:tabs>
          <w:tab w:val="left" w:pos="3240"/>
        </w:tabs>
        <w:ind w:left="3240" w:hanging="360"/>
      </w:pPr>
      <w:rPr>
        <w:rFonts w:ascii="Arial" w:hAnsi="Arial" w:eastAsia="宋体" w:cs="Times New Roman"/>
      </w:rPr>
    </w:lvl>
    <w:lvl w:ilvl="1" w:tentative="0">
      <w:start w:val="1"/>
      <w:numFmt w:val="bullet"/>
      <w:pStyle w:val="520"/>
      <w:lvlText w:val="o"/>
      <w:lvlJc w:val="left"/>
      <w:pPr>
        <w:tabs>
          <w:tab w:val="left" w:pos="3960"/>
        </w:tabs>
        <w:ind w:left="3960" w:hanging="360"/>
      </w:pPr>
      <w:rPr>
        <w:rFonts w:hint="default" w:ascii="Courier New" w:hAnsi="Courier New"/>
      </w:rPr>
    </w:lvl>
    <w:lvl w:ilvl="2" w:tentative="0">
      <w:start w:val="1"/>
      <w:numFmt w:val="bullet"/>
      <w:pStyle w:val="527"/>
      <w:lvlText w:val=""/>
      <w:lvlJc w:val="left"/>
      <w:pPr>
        <w:tabs>
          <w:tab w:val="left" w:pos="4680"/>
        </w:tabs>
        <w:ind w:left="4680" w:hanging="360"/>
      </w:pPr>
      <w:rPr>
        <w:rFonts w:hint="default" w:ascii="Wingdings" w:hAnsi="Wingdings"/>
      </w:rPr>
    </w:lvl>
    <w:lvl w:ilvl="3" w:tentative="0">
      <w:start w:val="1"/>
      <w:numFmt w:val="bullet"/>
      <w:lvlText w:val=""/>
      <w:lvlJc w:val="left"/>
      <w:pPr>
        <w:tabs>
          <w:tab w:val="left" w:pos="5400"/>
        </w:tabs>
        <w:ind w:left="5400" w:hanging="360"/>
      </w:pPr>
      <w:rPr>
        <w:rFonts w:hint="default" w:ascii="Symbol" w:hAnsi="Symbol"/>
      </w:rPr>
    </w:lvl>
    <w:lvl w:ilvl="4" w:tentative="0">
      <w:start w:val="1"/>
      <w:numFmt w:val="bullet"/>
      <w:lvlText w:val="o"/>
      <w:lvlJc w:val="left"/>
      <w:pPr>
        <w:tabs>
          <w:tab w:val="left" w:pos="6120"/>
        </w:tabs>
        <w:ind w:left="6120" w:hanging="360"/>
      </w:pPr>
      <w:rPr>
        <w:rFonts w:hint="default" w:ascii="Courier New" w:hAnsi="Courier New"/>
      </w:rPr>
    </w:lvl>
    <w:lvl w:ilvl="5" w:tentative="0">
      <w:start w:val="1"/>
      <w:numFmt w:val="bullet"/>
      <w:lvlText w:val=""/>
      <w:lvlJc w:val="left"/>
      <w:pPr>
        <w:tabs>
          <w:tab w:val="left" w:pos="6840"/>
        </w:tabs>
        <w:ind w:left="6840" w:hanging="360"/>
      </w:pPr>
      <w:rPr>
        <w:rFonts w:hint="default" w:ascii="Wingdings" w:hAnsi="Wingdings"/>
      </w:rPr>
    </w:lvl>
    <w:lvl w:ilvl="6" w:tentative="0">
      <w:start w:val="1"/>
      <w:numFmt w:val="bullet"/>
      <w:lvlText w:val=""/>
      <w:lvlJc w:val="left"/>
      <w:pPr>
        <w:tabs>
          <w:tab w:val="left" w:pos="7560"/>
        </w:tabs>
        <w:ind w:left="7560" w:hanging="360"/>
      </w:pPr>
      <w:rPr>
        <w:rFonts w:hint="default" w:ascii="Symbol" w:hAnsi="Symbol"/>
      </w:rPr>
    </w:lvl>
    <w:lvl w:ilvl="7" w:tentative="0">
      <w:start w:val="1"/>
      <w:numFmt w:val="bullet"/>
      <w:lvlText w:val="o"/>
      <w:lvlJc w:val="left"/>
      <w:pPr>
        <w:tabs>
          <w:tab w:val="left" w:pos="8280"/>
        </w:tabs>
        <w:ind w:left="8280" w:hanging="360"/>
      </w:pPr>
      <w:rPr>
        <w:rFonts w:hint="default" w:ascii="Courier New" w:hAnsi="Courier New"/>
      </w:rPr>
    </w:lvl>
    <w:lvl w:ilvl="8" w:tentative="0">
      <w:start w:val="1"/>
      <w:numFmt w:val="bullet"/>
      <w:lvlText w:val=""/>
      <w:lvlJc w:val="left"/>
      <w:pPr>
        <w:tabs>
          <w:tab w:val="left" w:pos="9000"/>
        </w:tabs>
        <w:ind w:left="9000" w:hanging="360"/>
      </w:pPr>
      <w:rPr>
        <w:rFonts w:hint="default" w:ascii="Wingdings" w:hAnsi="Wingdings"/>
      </w:rPr>
    </w:lvl>
  </w:abstractNum>
  <w:abstractNum w:abstractNumId="6">
    <w:nsid w:val="00000013"/>
    <w:multiLevelType w:val="singleLevel"/>
    <w:tmpl w:val="00000013"/>
    <w:lvl w:ilvl="0" w:tentative="0">
      <w:start w:val="1"/>
      <w:numFmt w:val="decimal"/>
      <w:pStyle w:val="436"/>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pStyle w:val="29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29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288"/>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287"/>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35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30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352"/>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40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730"/>
        </w:tabs>
        <w:ind w:left="1609"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0000002F"/>
    <w:multiLevelType w:val="multilevel"/>
    <w:tmpl w:val="0000002F"/>
    <w:lvl w:ilvl="0" w:tentative="0">
      <w:start w:val="1"/>
      <w:numFmt w:val="decimal"/>
      <w:pStyle w:val="34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E230849"/>
    <w:multiLevelType w:val="multilevel"/>
    <w:tmpl w:val="0E230849"/>
    <w:lvl w:ilvl="0" w:tentative="0">
      <w:start w:val="1"/>
      <w:numFmt w:val="decimal"/>
      <w:pStyle w:val="394"/>
      <w:lvlText w:val="%1"/>
      <w:lvlJc w:val="left"/>
      <w:pPr>
        <w:ind w:left="680" w:hanging="680"/>
      </w:pPr>
      <w:rPr>
        <w:rFonts w:hint="eastAsia" w:ascii="宋体" w:hAnsi="宋体" w:eastAsia="宋体"/>
      </w:rPr>
    </w:lvl>
    <w:lvl w:ilvl="1" w:tentative="0">
      <w:start w:val="1"/>
      <w:numFmt w:val="decimal"/>
      <w:pStyle w:val="349"/>
      <w:lvlText w:val="%1.%2"/>
      <w:lvlJc w:val="left"/>
      <w:pPr>
        <w:ind w:left="851" w:hanging="851"/>
      </w:pPr>
      <w:rPr>
        <w:rFonts w:hint="eastAsia" w:ascii="宋体" w:hAnsi="宋体" w:eastAsia="宋体"/>
        <w:color w:val="auto"/>
      </w:rPr>
    </w:lvl>
    <w:lvl w:ilvl="2" w:tentative="0">
      <w:start w:val="1"/>
      <w:numFmt w:val="decimal"/>
      <w:pStyle w:val="36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35E281B"/>
    <w:multiLevelType w:val="multilevel"/>
    <w:tmpl w:val="135E281B"/>
    <w:lvl w:ilvl="0" w:tentative="0">
      <w:start w:val="1"/>
      <w:numFmt w:val="japaneseCounting"/>
      <w:lvlText w:val="%1、"/>
      <w:lvlJc w:val="left"/>
      <w:pPr>
        <w:tabs>
          <w:tab w:val="left" w:pos="900"/>
        </w:tabs>
        <w:ind w:left="900" w:hanging="48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1D74141F"/>
    <w:multiLevelType w:val="multilevel"/>
    <w:tmpl w:val="1D74141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1DF56A28"/>
    <w:multiLevelType w:val="multilevel"/>
    <w:tmpl w:val="1DF56A28"/>
    <w:lvl w:ilvl="0" w:tentative="0">
      <w:start w:val="1"/>
      <w:numFmt w:val="decimal"/>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1474847"/>
    <w:multiLevelType w:val="multilevel"/>
    <w:tmpl w:val="21474847"/>
    <w:lvl w:ilvl="0" w:tentative="0">
      <w:start w:val="1"/>
      <w:numFmt w:val="decimal"/>
      <w:lvlText w:val="%1)"/>
      <w:lvlJc w:val="left"/>
      <w:pPr>
        <w:ind w:left="920" w:hanging="440"/>
      </w:pPr>
    </w:lvl>
    <w:lvl w:ilvl="1" w:tentative="0">
      <w:start w:val="1"/>
      <w:numFmt w:val="decimalEnclosedCircle"/>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371C6DBD"/>
    <w:multiLevelType w:val="singleLevel"/>
    <w:tmpl w:val="371C6DBD"/>
    <w:lvl w:ilvl="0" w:tentative="0">
      <w:start w:val="1"/>
      <w:numFmt w:val="decimal"/>
      <w:suff w:val="nothing"/>
      <w:lvlText w:val="%1、"/>
      <w:lvlJc w:val="left"/>
      <w:rPr>
        <w:color w:val="auto"/>
      </w:rPr>
    </w:lvl>
  </w:abstractNum>
  <w:abstractNum w:abstractNumId="19">
    <w:nsid w:val="480B1ABA"/>
    <w:multiLevelType w:val="multilevel"/>
    <w:tmpl w:val="480B1AB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531A474E"/>
    <w:multiLevelType w:val="multilevel"/>
    <w:tmpl w:val="531A474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54215745"/>
    <w:multiLevelType w:val="singleLevel"/>
    <w:tmpl w:val="54215745"/>
    <w:lvl w:ilvl="0" w:tentative="0">
      <w:start w:val="6"/>
      <w:numFmt w:val="decimal"/>
      <w:lvlText w:val="%1."/>
      <w:lvlJc w:val="left"/>
      <w:pPr>
        <w:tabs>
          <w:tab w:val="left" w:pos="312"/>
        </w:tabs>
      </w:pPr>
    </w:lvl>
  </w:abstractNum>
  <w:abstractNum w:abstractNumId="22">
    <w:nsid w:val="62B454CF"/>
    <w:multiLevelType w:val="multilevel"/>
    <w:tmpl w:val="62B454CF"/>
    <w:lvl w:ilvl="0" w:tentative="0">
      <w:start w:val="1"/>
      <w:numFmt w:val="decimal"/>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0110E6B"/>
    <w:multiLevelType w:val="multilevel"/>
    <w:tmpl w:val="70110E6B"/>
    <w:lvl w:ilvl="0" w:tentative="0">
      <w:start w:val="1"/>
      <w:numFmt w:val="decimal"/>
      <w:lvlText w:val="%1．"/>
      <w:lvlJc w:val="left"/>
      <w:pPr>
        <w:ind w:left="468" w:hanging="440"/>
      </w:pPr>
      <w:rPr>
        <w:rFonts w:hint="default"/>
      </w:rPr>
    </w:lvl>
    <w:lvl w:ilvl="1" w:tentative="0">
      <w:start w:val="1"/>
      <w:numFmt w:val="lowerLetter"/>
      <w:lvlText w:val="%2)"/>
      <w:lvlJc w:val="left"/>
      <w:pPr>
        <w:ind w:left="908" w:hanging="440"/>
      </w:pPr>
    </w:lvl>
    <w:lvl w:ilvl="2" w:tentative="0">
      <w:start w:val="1"/>
      <w:numFmt w:val="lowerRoman"/>
      <w:lvlText w:val="%3."/>
      <w:lvlJc w:val="right"/>
      <w:pPr>
        <w:ind w:left="1348" w:hanging="440"/>
      </w:pPr>
    </w:lvl>
    <w:lvl w:ilvl="3" w:tentative="0">
      <w:start w:val="1"/>
      <w:numFmt w:val="decimal"/>
      <w:lvlText w:val="%4."/>
      <w:lvlJc w:val="left"/>
      <w:pPr>
        <w:ind w:left="1788" w:hanging="440"/>
      </w:pPr>
    </w:lvl>
    <w:lvl w:ilvl="4" w:tentative="0">
      <w:start w:val="1"/>
      <w:numFmt w:val="lowerLetter"/>
      <w:lvlText w:val="%5)"/>
      <w:lvlJc w:val="left"/>
      <w:pPr>
        <w:ind w:left="2228" w:hanging="440"/>
      </w:pPr>
    </w:lvl>
    <w:lvl w:ilvl="5" w:tentative="0">
      <w:start w:val="1"/>
      <w:numFmt w:val="lowerRoman"/>
      <w:lvlText w:val="%6."/>
      <w:lvlJc w:val="right"/>
      <w:pPr>
        <w:ind w:left="2668" w:hanging="440"/>
      </w:pPr>
    </w:lvl>
    <w:lvl w:ilvl="6" w:tentative="0">
      <w:start w:val="1"/>
      <w:numFmt w:val="decimal"/>
      <w:lvlText w:val="%7."/>
      <w:lvlJc w:val="left"/>
      <w:pPr>
        <w:ind w:left="3108" w:hanging="440"/>
      </w:pPr>
    </w:lvl>
    <w:lvl w:ilvl="7" w:tentative="0">
      <w:start w:val="1"/>
      <w:numFmt w:val="lowerLetter"/>
      <w:lvlText w:val="%8)"/>
      <w:lvlJc w:val="left"/>
      <w:pPr>
        <w:ind w:left="3548" w:hanging="440"/>
      </w:pPr>
    </w:lvl>
    <w:lvl w:ilvl="8" w:tentative="0">
      <w:start w:val="1"/>
      <w:numFmt w:val="lowerRoman"/>
      <w:lvlText w:val="%9."/>
      <w:lvlJc w:val="right"/>
      <w:pPr>
        <w:ind w:left="3988" w:hanging="440"/>
      </w:pPr>
    </w:lvl>
  </w:abstractNum>
  <w:abstractNum w:abstractNumId="24">
    <w:nsid w:val="70565C7E"/>
    <w:multiLevelType w:val="multilevel"/>
    <w:tmpl w:val="70565C7E"/>
    <w:lvl w:ilvl="0" w:tentative="0">
      <w:start w:val="1"/>
      <w:numFmt w:val="decimal"/>
      <w:lvlText w:val="%1)"/>
      <w:lvlJc w:val="left"/>
      <w:pPr>
        <w:ind w:left="440" w:hanging="440"/>
      </w:pPr>
    </w:lvl>
    <w:lvl w:ilvl="1" w:tentative="0">
      <w:start w:val="1"/>
      <w:numFmt w:val="decimal"/>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76933334"/>
    <w:multiLevelType w:val="multilevel"/>
    <w:tmpl w:val="76933334"/>
    <w:lvl w:ilvl="0" w:tentative="0">
      <w:start w:val="1"/>
      <w:numFmt w:val="none"/>
      <w:pStyle w:val="75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B720D30"/>
    <w:multiLevelType w:val="multilevel"/>
    <w:tmpl w:val="7B720D3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7"/>
  </w:num>
  <w:num w:numId="3">
    <w:abstractNumId w:val="10"/>
  </w:num>
  <w:num w:numId="4">
    <w:abstractNumId w:val="2"/>
  </w:num>
  <w:num w:numId="5">
    <w:abstractNumId w:val="4"/>
  </w:num>
  <w:num w:numId="6">
    <w:abstractNumId w:val="11"/>
  </w:num>
  <w:num w:numId="7">
    <w:abstractNumId w:val="8"/>
  </w:num>
  <w:num w:numId="8">
    <w:abstractNumId w:val="6"/>
  </w:num>
  <w:num w:numId="9">
    <w:abstractNumId w:val="5"/>
  </w:num>
  <w:num w:numId="10">
    <w:abstractNumId w:val="3"/>
  </w:num>
  <w:num w:numId="11">
    <w:abstractNumId w:val="25"/>
  </w:num>
  <w:num w:numId="12">
    <w:abstractNumId w:val="21"/>
  </w:num>
  <w:num w:numId="13">
    <w:abstractNumId w:val="16"/>
  </w:num>
  <w:num w:numId="14">
    <w:abstractNumId w:val="18"/>
  </w:num>
  <w:num w:numId="15">
    <w:abstractNumId w:val="9"/>
  </w:num>
  <w:num w:numId="16">
    <w:abstractNumId w:val="1"/>
  </w:num>
  <w:num w:numId="17">
    <w:abstractNumId w:val="12"/>
  </w:num>
  <w:num w:numId="18">
    <w:abstractNumId w:val="26"/>
  </w:num>
  <w:num w:numId="19">
    <w:abstractNumId w:val="23"/>
  </w:num>
  <w:num w:numId="20">
    <w:abstractNumId w:val="20"/>
  </w:num>
  <w:num w:numId="21">
    <w:abstractNumId w:val="24"/>
  </w:num>
  <w:num w:numId="22">
    <w:abstractNumId w:val="15"/>
  </w:num>
  <w:num w:numId="23">
    <w:abstractNumId w:val="13"/>
  </w:num>
  <w:num w:numId="24">
    <w:abstractNumId w:val="19"/>
  </w:num>
  <w:num w:numId="25">
    <w:abstractNumId w:val="17"/>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jViMDVhNDg5ODY1Y2MwZDUyY2JlMmM5YjhkZDYyMTEifQ=="/>
    <w:docVar w:name="VTCASE" w:val="4"/>
    <w:docVar w:name="VTCommandPending" w:val="NONE"/>
  </w:docVars>
  <w:rsids>
    <w:rsidRoot w:val="00172A27"/>
    <w:rsid w:val="00000277"/>
    <w:rsid w:val="000002A1"/>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44"/>
    <w:rsid w:val="000060A7"/>
    <w:rsid w:val="0000634B"/>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109"/>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BC7"/>
    <w:rsid w:val="00017C5E"/>
    <w:rsid w:val="00017DD5"/>
    <w:rsid w:val="00020232"/>
    <w:rsid w:val="000203B5"/>
    <w:rsid w:val="00020505"/>
    <w:rsid w:val="00020696"/>
    <w:rsid w:val="000206B5"/>
    <w:rsid w:val="00020880"/>
    <w:rsid w:val="00020900"/>
    <w:rsid w:val="00020C28"/>
    <w:rsid w:val="00020E48"/>
    <w:rsid w:val="000210FD"/>
    <w:rsid w:val="0002113E"/>
    <w:rsid w:val="000215D4"/>
    <w:rsid w:val="000217FC"/>
    <w:rsid w:val="0002198F"/>
    <w:rsid w:val="00021AEB"/>
    <w:rsid w:val="00021C9E"/>
    <w:rsid w:val="00021F1F"/>
    <w:rsid w:val="00021F66"/>
    <w:rsid w:val="0002210E"/>
    <w:rsid w:val="0002216A"/>
    <w:rsid w:val="0002217C"/>
    <w:rsid w:val="0002226B"/>
    <w:rsid w:val="0002229D"/>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0EF4"/>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28"/>
    <w:rsid w:val="00033263"/>
    <w:rsid w:val="00033483"/>
    <w:rsid w:val="00033665"/>
    <w:rsid w:val="000337D2"/>
    <w:rsid w:val="00033A69"/>
    <w:rsid w:val="0003416B"/>
    <w:rsid w:val="00034376"/>
    <w:rsid w:val="000343B7"/>
    <w:rsid w:val="000343F4"/>
    <w:rsid w:val="0003447F"/>
    <w:rsid w:val="0003454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91"/>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856"/>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AC"/>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520"/>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DB5"/>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8EE"/>
    <w:rsid w:val="00061AA9"/>
    <w:rsid w:val="00061BAE"/>
    <w:rsid w:val="00061DD1"/>
    <w:rsid w:val="00061EF5"/>
    <w:rsid w:val="00061F68"/>
    <w:rsid w:val="000620CE"/>
    <w:rsid w:val="0006234D"/>
    <w:rsid w:val="00062474"/>
    <w:rsid w:val="0006280B"/>
    <w:rsid w:val="00062854"/>
    <w:rsid w:val="00062EF5"/>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66"/>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99"/>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300"/>
    <w:rsid w:val="0007464A"/>
    <w:rsid w:val="00074670"/>
    <w:rsid w:val="00074780"/>
    <w:rsid w:val="00074786"/>
    <w:rsid w:val="00074C28"/>
    <w:rsid w:val="00074FC7"/>
    <w:rsid w:val="000752FF"/>
    <w:rsid w:val="0007533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0EF"/>
    <w:rsid w:val="00077705"/>
    <w:rsid w:val="000778B7"/>
    <w:rsid w:val="00077922"/>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0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2C6"/>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CFA"/>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C79"/>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200"/>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C46"/>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C88"/>
    <w:rsid w:val="000B2E06"/>
    <w:rsid w:val="000B2E78"/>
    <w:rsid w:val="000B2F43"/>
    <w:rsid w:val="000B330A"/>
    <w:rsid w:val="000B3874"/>
    <w:rsid w:val="000B394D"/>
    <w:rsid w:val="000B3B3B"/>
    <w:rsid w:val="000B3FFC"/>
    <w:rsid w:val="000B3FFE"/>
    <w:rsid w:val="000B43F5"/>
    <w:rsid w:val="000B43FB"/>
    <w:rsid w:val="000B4569"/>
    <w:rsid w:val="000B45D7"/>
    <w:rsid w:val="000B46AA"/>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52C"/>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8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6B"/>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3D"/>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B2E"/>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6C"/>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CF5"/>
    <w:rsid w:val="00103EA8"/>
    <w:rsid w:val="00103FCB"/>
    <w:rsid w:val="0010421A"/>
    <w:rsid w:val="00104312"/>
    <w:rsid w:val="001043C7"/>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220"/>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98"/>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8D1"/>
    <w:rsid w:val="00113A8F"/>
    <w:rsid w:val="00113AEF"/>
    <w:rsid w:val="00113C06"/>
    <w:rsid w:val="001140D4"/>
    <w:rsid w:val="001141CF"/>
    <w:rsid w:val="00114447"/>
    <w:rsid w:val="001146A0"/>
    <w:rsid w:val="0011490F"/>
    <w:rsid w:val="00114978"/>
    <w:rsid w:val="00114A55"/>
    <w:rsid w:val="00114A83"/>
    <w:rsid w:val="00114D97"/>
    <w:rsid w:val="00114DA3"/>
    <w:rsid w:val="00114FDE"/>
    <w:rsid w:val="001151F2"/>
    <w:rsid w:val="00115203"/>
    <w:rsid w:val="00115308"/>
    <w:rsid w:val="00115763"/>
    <w:rsid w:val="00115942"/>
    <w:rsid w:val="00115943"/>
    <w:rsid w:val="00115979"/>
    <w:rsid w:val="00115A3B"/>
    <w:rsid w:val="00115A7A"/>
    <w:rsid w:val="00115BEF"/>
    <w:rsid w:val="00115CAE"/>
    <w:rsid w:val="001160B0"/>
    <w:rsid w:val="001160FB"/>
    <w:rsid w:val="0011665B"/>
    <w:rsid w:val="001167AC"/>
    <w:rsid w:val="0011685A"/>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D57"/>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A1"/>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7FB"/>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DDE"/>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485"/>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76"/>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273"/>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2FFD"/>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7FF"/>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3AD"/>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6E8"/>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880"/>
    <w:rsid w:val="00191935"/>
    <w:rsid w:val="0019194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414"/>
    <w:rsid w:val="001A76B1"/>
    <w:rsid w:val="001A79C1"/>
    <w:rsid w:val="001A7ACB"/>
    <w:rsid w:val="001A7AE0"/>
    <w:rsid w:val="001A7CDD"/>
    <w:rsid w:val="001A7F41"/>
    <w:rsid w:val="001A7F77"/>
    <w:rsid w:val="001B011B"/>
    <w:rsid w:val="001B016B"/>
    <w:rsid w:val="001B0413"/>
    <w:rsid w:val="001B04AA"/>
    <w:rsid w:val="001B055C"/>
    <w:rsid w:val="001B077F"/>
    <w:rsid w:val="001B093E"/>
    <w:rsid w:val="001B0993"/>
    <w:rsid w:val="001B0B40"/>
    <w:rsid w:val="001B0BCA"/>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D47"/>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17"/>
    <w:rsid w:val="001C172A"/>
    <w:rsid w:val="001C1A12"/>
    <w:rsid w:val="001C1AE9"/>
    <w:rsid w:val="001C1B8B"/>
    <w:rsid w:val="001C1E53"/>
    <w:rsid w:val="001C208F"/>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9D0"/>
    <w:rsid w:val="001C3EBD"/>
    <w:rsid w:val="001C405C"/>
    <w:rsid w:val="001C41EB"/>
    <w:rsid w:val="001C4429"/>
    <w:rsid w:val="001C47A0"/>
    <w:rsid w:val="001C47E6"/>
    <w:rsid w:val="001C4F2E"/>
    <w:rsid w:val="001C4F89"/>
    <w:rsid w:val="001C50AB"/>
    <w:rsid w:val="001C5254"/>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9A5"/>
    <w:rsid w:val="001C6AAB"/>
    <w:rsid w:val="001C6AE0"/>
    <w:rsid w:val="001C6B50"/>
    <w:rsid w:val="001C6C55"/>
    <w:rsid w:val="001C70EB"/>
    <w:rsid w:val="001C7330"/>
    <w:rsid w:val="001C7368"/>
    <w:rsid w:val="001C778F"/>
    <w:rsid w:val="001C7909"/>
    <w:rsid w:val="001C795B"/>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5C7"/>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3E7"/>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B41"/>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AC1"/>
    <w:rsid w:val="001F0C50"/>
    <w:rsid w:val="001F126A"/>
    <w:rsid w:val="001F137C"/>
    <w:rsid w:val="001F17AB"/>
    <w:rsid w:val="001F1B18"/>
    <w:rsid w:val="001F1D26"/>
    <w:rsid w:val="001F1E70"/>
    <w:rsid w:val="001F2402"/>
    <w:rsid w:val="001F28AA"/>
    <w:rsid w:val="001F2AB7"/>
    <w:rsid w:val="001F2DCF"/>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7CF"/>
    <w:rsid w:val="00202B06"/>
    <w:rsid w:val="00202B44"/>
    <w:rsid w:val="00203118"/>
    <w:rsid w:val="00203153"/>
    <w:rsid w:val="002033CB"/>
    <w:rsid w:val="002034C2"/>
    <w:rsid w:val="00203726"/>
    <w:rsid w:val="00203A4A"/>
    <w:rsid w:val="00203B1A"/>
    <w:rsid w:val="00203BF8"/>
    <w:rsid w:val="00203DAD"/>
    <w:rsid w:val="00203E7F"/>
    <w:rsid w:val="002043A5"/>
    <w:rsid w:val="00204574"/>
    <w:rsid w:val="00204728"/>
    <w:rsid w:val="00204761"/>
    <w:rsid w:val="002047C4"/>
    <w:rsid w:val="00204865"/>
    <w:rsid w:val="00204D86"/>
    <w:rsid w:val="00204E72"/>
    <w:rsid w:val="00204FA5"/>
    <w:rsid w:val="002057C1"/>
    <w:rsid w:val="00205CED"/>
    <w:rsid w:val="00205D16"/>
    <w:rsid w:val="00205F4A"/>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7FE"/>
    <w:rsid w:val="00211AB1"/>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23D"/>
    <w:rsid w:val="00214368"/>
    <w:rsid w:val="00214B2B"/>
    <w:rsid w:val="00214D0B"/>
    <w:rsid w:val="00214F86"/>
    <w:rsid w:val="00214FA6"/>
    <w:rsid w:val="00214FF5"/>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B9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3FD"/>
    <w:rsid w:val="00230483"/>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0C3"/>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9DE"/>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330"/>
    <w:rsid w:val="0024445A"/>
    <w:rsid w:val="002444D8"/>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D86"/>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353"/>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0D6"/>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34"/>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0A0"/>
    <w:rsid w:val="00282390"/>
    <w:rsid w:val="002826C3"/>
    <w:rsid w:val="0028274F"/>
    <w:rsid w:val="002828C2"/>
    <w:rsid w:val="00282BAB"/>
    <w:rsid w:val="00282F4A"/>
    <w:rsid w:val="00283031"/>
    <w:rsid w:val="002832A6"/>
    <w:rsid w:val="002834E4"/>
    <w:rsid w:val="002837B1"/>
    <w:rsid w:val="00283AA1"/>
    <w:rsid w:val="00283C48"/>
    <w:rsid w:val="00283D26"/>
    <w:rsid w:val="00283D5E"/>
    <w:rsid w:val="00283E2E"/>
    <w:rsid w:val="00283ED2"/>
    <w:rsid w:val="00283FC0"/>
    <w:rsid w:val="002846A1"/>
    <w:rsid w:val="00284859"/>
    <w:rsid w:val="00284905"/>
    <w:rsid w:val="00284C10"/>
    <w:rsid w:val="00284F69"/>
    <w:rsid w:val="00285306"/>
    <w:rsid w:val="00285314"/>
    <w:rsid w:val="00285513"/>
    <w:rsid w:val="002856BE"/>
    <w:rsid w:val="00285712"/>
    <w:rsid w:val="0028577F"/>
    <w:rsid w:val="0028584C"/>
    <w:rsid w:val="0028596A"/>
    <w:rsid w:val="00285A13"/>
    <w:rsid w:val="00285A7F"/>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6B"/>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C83"/>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8EA"/>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69"/>
    <w:rsid w:val="002B4CAF"/>
    <w:rsid w:val="002B4CB5"/>
    <w:rsid w:val="002B4CC2"/>
    <w:rsid w:val="002B4DE1"/>
    <w:rsid w:val="002B502D"/>
    <w:rsid w:val="002B5166"/>
    <w:rsid w:val="002B518F"/>
    <w:rsid w:val="002B531C"/>
    <w:rsid w:val="002B5632"/>
    <w:rsid w:val="002B597F"/>
    <w:rsid w:val="002B59FD"/>
    <w:rsid w:val="002B5B8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EC"/>
    <w:rsid w:val="002C34FA"/>
    <w:rsid w:val="002C354D"/>
    <w:rsid w:val="002C36A2"/>
    <w:rsid w:val="002C38AA"/>
    <w:rsid w:val="002C3A0B"/>
    <w:rsid w:val="002C3B26"/>
    <w:rsid w:val="002C3CFE"/>
    <w:rsid w:val="002C407B"/>
    <w:rsid w:val="002C4310"/>
    <w:rsid w:val="002C43B0"/>
    <w:rsid w:val="002C480D"/>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93"/>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3E"/>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0C7"/>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05"/>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98"/>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B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44F"/>
    <w:rsid w:val="003055EB"/>
    <w:rsid w:val="00305D0E"/>
    <w:rsid w:val="00305FDE"/>
    <w:rsid w:val="003060E5"/>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0F9D"/>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F92"/>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67C"/>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E99"/>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661"/>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10A"/>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27D"/>
    <w:rsid w:val="0034761D"/>
    <w:rsid w:val="00347779"/>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3C3"/>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B31"/>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8AE"/>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911"/>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9C2"/>
    <w:rsid w:val="00393B03"/>
    <w:rsid w:val="00393BEA"/>
    <w:rsid w:val="00393BF7"/>
    <w:rsid w:val="00394101"/>
    <w:rsid w:val="003941C0"/>
    <w:rsid w:val="00394314"/>
    <w:rsid w:val="0039447E"/>
    <w:rsid w:val="0039456E"/>
    <w:rsid w:val="00394702"/>
    <w:rsid w:val="0039477B"/>
    <w:rsid w:val="00394823"/>
    <w:rsid w:val="003948C0"/>
    <w:rsid w:val="003948E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240"/>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4E68"/>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3E9"/>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88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A79"/>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943"/>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C6B"/>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666"/>
    <w:rsid w:val="003F2D0B"/>
    <w:rsid w:val="003F2E4F"/>
    <w:rsid w:val="003F306A"/>
    <w:rsid w:val="003F3126"/>
    <w:rsid w:val="003F31C1"/>
    <w:rsid w:val="003F3204"/>
    <w:rsid w:val="003F34D0"/>
    <w:rsid w:val="003F3583"/>
    <w:rsid w:val="003F35C9"/>
    <w:rsid w:val="003F36A6"/>
    <w:rsid w:val="003F3738"/>
    <w:rsid w:val="003F380E"/>
    <w:rsid w:val="003F3847"/>
    <w:rsid w:val="003F3888"/>
    <w:rsid w:val="003F3DC8"/>
    <w:rsid w:val="003F3DD4"/>
    <w:rsid w:val="003F3F77"/>
    <w:rsid w:val="003F4362"/>
    <w:rsid w:val="003F4789"/>
    <w:rsid w:val="003F479B"/>
    <w:rsid w:val="003F4827"/>
    <w:rsid w:val="003F4839"/>
    <w:rsid w:val="003F4843"/>
    <w:rsid w:val="003F494E"/>
    <w:rsid w:val="003F4950"/>
    <w:rsid w:val="003F4AF4"/>
    <w:rsid w:val="003F4BB2"/>
    <w:rsid w:val="003F4BC8"/>
    <w:rsid w:val="003F4E62"/>
    <w:rsid w:val="003F4F42"/>
    <w:rsid w:val="003F5095"/>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2F3"/>
    <w:rsid w:val="0040035C"/>
    <w:rsid w:val="004003FA"/>
    <w:rsid w:val="004004FE"/>
    <w:rsid w:val="004005F9"/>
    <w:rsid w:val="00400856"/>
    <w:rsid w:val="00400DA9"/>
    <w:rsid w:val="00400E91"/>
    <w:rsid w:val="00400EFC"/>
    <w:rsid w:val="00401033"/>
    <w:rsid w:val="00401045"/>
    <w:rsid w:val="0040108E"/>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3"/>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4D3"/>
    <w:rsid w:val="0040567F"/>
    <w:rsid w:val="004056C1"/>
    <w:rsid w:val="00405789"/>
    <w:rsid w:val="004058B9"/>
    <w:rsid w:val="00405940"/>
    <w:rsid w:val="00405BB1"/>
    <w:rsid w:val="00405C17"/>
    <w:rsid w:val="00405C81"/>
    <w:rsid w:val="00405CFC"/>
    <w:rsid w:val="0040667F"/>
    <w:rsid w:val="004066DC"/>
    <w:rsid w:val="004067F2"/>
    <w:rsid w:val="004068D6"/>
    <w:rsid w:val="00406AC6"/>
    <w:rsid w:val="00406C82"/>
    <w:rsid w:val="00406D6D"/>
    <w:rsid w:val="00406DB3"/>
    <w:rsid w:val="0040712D"/>
    <w:rsid w:val="004072D4"/>
    <w:rsid w:val="0040762C"/>
    <w:rsid w:val="004076C9"/>
    <w:rsid w:val="00407728"/>
    <w:rsid w:val="00407796"/>
    <w:rsid w:val="00407A48"/>
    <w:rsid w:val="00407B86"/>
    <w:rsid w:val="004100CC"/>
    <w:rsid w:val="004100F9"/>
    <w:rsid w:val="00410544"/>
    <w:rsid w:val="0041090A"/>
    <w:rsid w:val="00410921"/>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3C"/>
    <w:rsid w:val="00413CEA"/>
    <w:rsid w:val="00413FF3"/>
    <w:rsid w:val="0041402C"/>
    <w:rsid w:val="00414442"/>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EA"/>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3B6"/>
    <w:rsid w:val="00421484"/>
    <w:rsid w:val="004214DB"/>
    <w:rsid w:val="004215B8"/>
    <w:rsid w:val="00421A7D"/>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872"/>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44"/>
    <w:rsid w:val="004306C8"/>
    <w:rsid w:val="004306F8"/>
    <w:rsid w:val="00430815"/>
    <w:rsid w:val="00430A3E"/>
    <w:rsid w:val="00430BC1"/>
    <w:rsid w:val="00430BDB"/>
    <w:rsid w:val="00430DE2"/>
    <w:rsid w:val="00431084"/>
    <w:rsid w:val="00431092"/>
    <w:rsid w:val="004310ED"/>
    <w:rsid w:val="00431249"/>
    <w:rsid w:val="004313E7"/>
    <w:rsid w:val="00431476"/>
    <w:rsid w:val="004316E9"/>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0FE"/>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598"/>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42"/>
    <w:rsid w:val="00447940"/>
    <w:rsid w:val="00447D56"/>
    <w:rsid w:val="00447E53"/>
    <w:rsid w:val="00447EB6"/>
    <w:rsid w:val="00447F16"/>
    <w:rsid w:val="004504F0"/>
    <w:rsid w:val="004504FE"/>
    <w:rsid w:val="00450850"/>
    <w:rsid w:val="00450D50"/>
    <w:rsid w:val="0045100C"/>
    <w:rsid w:val="00451076"/>
    <w:rsid w:val="004510BF"/>
    <w:rsid w:val="004511CD"/>
    <w:rsid w:val="0045139D"/>
    <w:rsid w:val="004513B1"/>
    <w:rsid w:val="004514CB"/>
    <w:rsid w:val="00451A83"/>
    <w:rsid w:val="00451AB7"/>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2FAE"/>
    <w:rsid w:val="00453050"/>
    <w:rsid w:val="00453126"/>
    <w:rsid w:val="004531F7"/>
    <w:rsid w:val="00453259"/>
    <w:rsid w:val="00453E11"/>
    <w:rsid w:val="00453E33"/>
    <w:rsid w:val="00454330"/>
    <w:rsid w:val="00454349"/>
    <w:rsid w:val="00454361"/>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4D2"/>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15"/>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0BC"/>
    <w:rsid w:val="004802F4"/>
    <w:rsid w:val="004807A8"/>
    <w:rsid w:val="0048093B"/>
    <w:rsid w:val="004809A3"/>
    <w:rsid w:val="00480F1D"/>
    <w:rsid w:val="00480F9E"/>
    <w:rsid w:val="00481012"/>
    <w:rsid w:val="0048102F"/>
    <w:rsid w:val="00481091"/>
    <w:rsid w:val="0048109C"/>
    <w:rsid w:val="0048138E"/>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E14"/>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6F72"/>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CA1"/>
    <w:rsid w:val="004A0FC8"/>
    <w:rsid w:val="004A1240"/>
    <w:rsid w:val="004A12FC"/>
    <w:rsid w:val="004A1346"/>
    <w:rsid w:val="004A1636"/>
    <w:rsid w:val="004A1C93"/>
    <w:rsid w:val="004A1DB3"/>
    <w:rsid w:val="004A1F90"/>
    <w:rsid w:val="004A24C2"/>
    <w:rsid w:val="004A2583"/>
    <w:rsid w:val="004A273A"/>
    <w:rsid w:val="004A27FC"/>
    <w:rsid w:val="004A2810"/>
    <w:rsid w:val="004A2945"/>
    <w:rsid w:val="004A2C49"/>
    <w:rsid w:val="004A30E8"/>
    <w:rsid w:val="004A35D1"/>
    <w:rsid w:val="004A3719"/>
    <w:rsid w:val="004A3751"/>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87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863"/>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85D"/>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C92"/>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11"/>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D59"/>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D17"/>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68E"/>
    <w:rsid w:val="00510766"/>
    <w:rsid w:val="0051082E"/>
    <w:rsid w:val="00510907"/>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A07"/>
    <w:rsid w:val="00525C6E"/>
    <w:rsid w:val="00525D60"/>
    <w:rsid w:val="0052628E"/>
    <w:rsid w:val="005262A1"/>
    <w:rsid w:val="005264CD"/>
    <w:rsid w:val="005266BF"/>
    <w:rsid w:val="005266ED"/>
    <w:rsid w:val="0052698C"/>
    <w:rsid w:val="00526B6B"/>
    <w:rsid w:val="00526C8F"/>
    <w:rsid w:val="00526DD1"/>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44"/>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60B"/>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57"/>
    <w:rsid w:val="005369DF"/>
    <w:rsid w:val="00536DA3"/>
    <w:rsid w:val="00536F60"/>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73D"/>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A84"/>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19"/>
    <w:rsid w:val="00552896"/>
    <w:rsid w:val="0055293A"/>
    <w:rsid w:val="00552C6B"/>
    <w:rsid w:val="00552CB0"/>
    <w:rsid w:val="005530A1"/>
    <w:rsid w:val="00553207"/>
    <w:rsid w:val="0055344A"/>
    <w:rsid w:val="00553475"/>
    <w:rsid w:val="00553679"/>
    <w:rsid w:val="0055370A"/>
    <w:rsid w:val="0055396A"/>
    <w:rsid w:val="00553AE7"/>
    <w:rsid w:val="00553D99"/>
    <w:rsid w:val="00553E7F"/>
    <w:rsid w:val="00553FC8"/>
    <w:rsid w:val="00553FF7"/>
    <w:rsid w:val="00554056"/>
    <w:rsid w:val="00554519"/>
    <w:rsid w:val="00554554"/>
    <w:rsid w:val="00554643"/>
    <w:rsid w:val="005546F8"/>
    <w:rsid w:val="00554735"/>
    <w:rsid w:val="005548AC"/>
    <w:rsid w:val="00554FE7"/>
    <w:rsid w:val="0055508D"/>
    <w:rsid w:val="005550F2"/>
    <w:rsid w:val="00555341"/>
    <w:rsid w:val="005555CA"/>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CE5"/>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29"/>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549"/>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29F"/>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0C8"/>
    <w:rsid w:val="005B11F1"/>
    <w:rsid w:val="005B180E"/>
    <w:rsid w:val="005B1BBF"/>
    <w:rsid w:val="005B1ECB"/>
    <w:rsid w:val="005B20D5"/>
    <w:rsid w:val="005B225B"/>
    <w:rsid w:val="005B2331"/>
    <w:rsid w:val="005B2BF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AB6"/>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4E6"/>
    <w:rsid w:val="005C17B9"/>
    <w:rsid w:val="005C1913"/>
    <w:rsid w:val="005C1B09"/>
    <w:rsid w:val="005C1E5C"/>
    <w:rsid w:val="005C1E93"/>
    <w:rsid w:val="005C2175"/>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63"/>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8F7"/>
    <w:rsid w:val="005E291A"/>
    <w:rsid w:val="005E2B37"/>
    <w:rsid w:val="005E2DB4"/>
    <w:rsid w:val="005E33C3"/>
    <w:rsid w:val="005E363E"/>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4E8"/>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62A"/>
    <w:rsid w:val="00600AC3"/>
    <w:rsid w:val="00600BA5"/>
    <w:rsid w:val="00600BE4"/>
    <w:rsid w:val="00600D25"/>
    <w:rsid w:val="00600E2C"/>
    <w:rsid w:val="006011AF"/>
    <w:rsid w:val="00601496"/>
    <w:rsid w:val="006016F4"/>
    <w:rsid w:val="006018A3"/>
    <w:rsid w:val="00601B94"/>
    <w:rsid w:val="00601C8E"/>
    <w:rsid w:val="00601D67"/>
    <w:rsid w:val="00602023"/>
    <w:rsid w:val="00602032"/>
    <w:rsid w:val="006020A3"/>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687"/>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5B2"/>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896"/>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172"/>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05B"/>
    <w:rsid w:val="0062711B"/>
    <w:rsid w:val="006274B7"/>
    <w:rsid w:val="0062759C"/>
    <w:rsid w:val="006275B6"/>
    <w:rsid w:val="0062791B"/>
    <w:rsid w:val="00627AA5"/>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592"/>
    <w:rsid w:val="00634723"/>
    <w:rsid w:val="00634764"/>
    <w:rsid w:val="006347EB"/>
    <w:rsid w:val="00634AFC"/>
    <w:rsid w:val="00634B07"/>
    <w:rsid w:val="00635428"/>
    <w:rsid w:val="00635674"/>
    <w:rsid w:val="00635835"/>
    <w:rsid w:val="00635DD7"/>
    <w:rsid w:val="00635E6B"/>
    <w:rsid w:val="00635F69"/>
    <w:rsid w:val="00636142"/>
    <w:rsid w:val="006362B2"/>
    <w:rsid w:val="00636440"/>
    <w:rsid w:val="0063675D"/>
    <w:rsid w:val="00636942"/>
    <w:rsid w:val="006369C7"/>
    <w:rsid w:val="00636A13"/>
    <w:rsid w:val="00636A1E"/>
    <w:rsid w:val="00636AB1"/>
    <w:rsid w:val="00636BC1"/>
    <w:rsid w:val="00636BE3"/>
    <w:rsid w:val="00636C82"/>
    <w:rsid w:val="00636F09"/>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A9E"/>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6D"/>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6A5"/>
    <w:rsid w:val="00647B99"/>
    <w:rsid w:val="00647D06"/>
    <w:rsid w:val="00647E7B"/>
    <w:rsid w:val="00647ED1"/>
    <w:rsid w:val="00650002"/>
    <w:rsid w:val="006500B8"/>
    <w:rsid w:val="006502FC"/>
    <w:rsid w:val="00650441"/>
    <w:rsid w:val="0065058E"/>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2DC"/>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774"/>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0C9"/>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B41"/>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B13"/>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63B"/>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6D0"/>
    <w:rsid w:val="00682C75"/>
    <w:rsid w:val="00683044"/>
    <w:rsid w:val="00683238"/>
    <w:rsid w:val="0068325D"/>
    <w:rsid w:val="00683471"/>
    <w:rsid w:val="006834FA"/>
    <w:rsid w:val="006835A5"/>
    <w:rsid w:val="0068374C"/>
    <w:rsid w:val="006839F5"/>
    <w:rsid w:val="00683C9D"/>
    <w:rsid w:val="0068454A"/>
    <w:rsid w:val="00684ACD"/>
    <w:rsid w:val="00684B8F"/>
    <w:rsid w:val="00684C60"/>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6FF9"/>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397"/>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143"/>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3D9"/>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BFC"/>
    <w:rsid w:val="006A6D0B"/>
    <w:rsid w:val="006A6EC2"/>
    <w:rsid w:val="006A718F"/>
    <w:rsid w:val="006A738E"/>
    <w:rsid w:val="006A73F4"/>
    <w:rsid w:val="006A7461"/>
    <w:rsid w:val="006A76D8"/>
    <w:rsid w:val="006A7831"/>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8FA"/>
    <w:rsid w:val="006B5A24"/>
    <w:rsid w:val="006B6020"/>
    <w:rsid w:val="006B6074"/>
    <w:rsid w:val="006B61BE"/>
    <w:rsid w:val="006B624F"/>
    <w:rsid w:val="006B627F"/>
    <w:rsid w:val="006B63E5"/>
    <w:rsid w:val="006B666A"/>
    <w:rsid w:val="006B69B8"/>
    <w:rsid w:val="006B6A84"/>
    <w:rsid w:val="006B6AEC"/>
    <w:rsid w:val="006B6B45"/>
    <w:rsid w:val="006B6BDF"/>
    <w:rsid w:val="006B6CF2"/>
    <w:rsid w:val="006B6D19"/>
    <w:rsid w:val="006B6D74"/>
    <w:rsid w:val="006B6EB2"/>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BC0"/>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692"/>
    <w:rsid w:val="006C670C"/>
    <w:rsid w:val="006C67F9"/>
    <w:rsid w:val="006C6A18"/>
    <w:rsid w:val="006C6B97"/>
    <w:rsid w:val="006C6C08"/>
    <w:rsid w:val="006C6C46"/>
    <w:rsid w:val="006C6CFA"/>
    <w:rsid w:val="006C6DB8"/>
    <w:rsid w:val="006C6E6F"/>
    <w:rsid w:val="006C724E"/>
    <w:rsid w:val="006C7340"/>
    <w:rsid w:val="006C74E6"/>
    <w:rsid w:val="006C79CE"/>
    <w:rsid w:val="006C7DF9"/>
    <w:rsid w:val="006D01D1"/>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45C"/>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89"/>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6F6"/>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63D"/>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E4"/>
    <w:rsid w:val="006F5BFA"/>
    <w:rsid w:val="006F5EAC"/>
    <w:rsid w:val="006F5ED8"/>
    <w:rsid w:val="006F5F73"/>
    <w:rsid w:val="006F6354"/>
    <w:rsid w:val="006F6479"/>
    <w:rsid w:val="006F6549"/>
    <w:rsid w:val="006F68B9"/>
    <w:rsid w:val="006F69AA"/>
    <w:rsid w:val="006F6A8C"/>
    <w:rsid w:val="006F6BA8"/>
    <w:rsid w:val="006F6BDA"/>
    <w:rsid w:val="006F6CD0"/>
    <w:rsid w:val="006F6EFC"/>
    <w:rsid w:val="006F725F"/>
    <w:rsid w:val="006F7365"/>
    <w:rsid w:val="006F7423"/>
    <w:rsid w:val="006F7586"/>
    <w:rsid w:val="006F766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EB0"/>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1CE"/>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07ED1"/>
    <w:rsid w:val="0071004F"/>
    <w:rsid w:val="0071039F"/>
    <w:rsid w:val="0071053D"/>
    <w:rsid w:val="00710731"/>
    <w:rsid w:val="00710DF6"/>
    <w:rsid w:val="00710E55"/>
    <w:rsid w:val="00710EAD"/>
    <w:rsid w:val="00711167"/>
    <w:rsid w:val="0071144C"/>
    <w:rsid w:val="007115AE"/>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05"/>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6D"/>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6FF4"/>
    <w:rsid w:val="00727520"/>
    <w:rsid w:val="00727552"/>
    <w:rsid w:val="007279B8"/>
    <w:rsid w:val="007279FC"/>
    <w:rsid w:val="00727A9A"/>
    <w:rsid w:val="00727AE6"/>
    <w:rsid w:val="00727BEE"/>
    <w:rsid w:val="00727DD8"/>
    <w:rsid w:val="0073000A"/>
    <w:rsid w:val="007300F6"/>
    <w:rsid w:val="0073016A"/>
    <w:rsid w:val="007301A7"/>
    <w:rsid w:val="007307C9"/>
    <w:rsid w:val="00730807"/>
    <w:rsid w:val="0073091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E26"/>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1DC9"/>
    <w:rsid w:val="00742141"/>
    <w:rsid w:val="0074221D"/>
    <w:rsid w:val="0074224C"/>
    <w:rsid w:val="00742252"/>
    <w:rsid w:val="0074263F"/>
    <w:rsid w:val="007426B7"/>
    <w:rsid w:val="007426EA"/>
    <w:rsid w:val="0074285E"/>
    <w:rsid w:val="00742A86"/>
    <w:rsid w:val="00742ADE"/>
    <w:rsid w:val="00742C1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864"/>
    <w:rsid w:val="0074692D"/>
    <w:rsid w:val="00746985"/>
    <w:rsid w:val="00746BBE"/>
    <w:rsid w:val="00746C4F"/>
    <w:rsid w:val="00746CFB"/>
    <w:rsid w:val="00746FCE"/>
    <w:rsid w:val="00747030"/>
    <w:rsid w:val="007473E7"/>
    <w:rsid w:val="00747411"/>
    <w:rsid w:val="007475B0"/>
    <w:rsid w:val="007479EB"/>
    <w:rsid w:val="00747C8D"/>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9D"/>
    <w:rsid w:val="00752C38"/>
    <w:rsid w:val="00752E6D"/>
    <w:rsid w:val="00752EC9"/>
    <w:rsid w:val="00752FEA"/>
    <w:rsid w:val="007530B3"/>
    <w:rsid w:val="007531E0"/>
    <w:rsid w:val="007532EF"/>
    <w:rsid w:val="00753453"/>
    <w:rsid w:val="00753646"/>
    <w:rsid w:val="007539A9"/>
    <w:rsid w:val="00753A77"/>
    <w:rsid w:val="00753AC1"/>
    <w:rsid w:val="00753B72"/>
    <w:rsid w:val="00753BBC"/>
    <w:rsid w:val="00754347"/>
    <w:rsid w:val="00754769"/>
    <w:rsid w:val="007548A7"/>
    <w:rsid w:val="00754C68"/>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9F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03"/>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31"/>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AB"/>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0FB"/>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E10"/>
    <w:rsid w:val="00775E88"/>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733"/>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71C"/>
    <w:rsid w:val="0078395F"/>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65F"/>
    <w:rsid w:val="00785759"/>
    <w:rsid w:val="00785B54"/>
    <w:rsid w:val="00785CCE"/>
    <w:rsid w:val="007860AA"/>
    <w:rsid w:val="007867C5"/>
    <w:rsid w:val="00786805"/>
    <w:rsid w:val="007869C7"/>
    <w:rsid w:val="00786D45"/>
    <w:rsid w:val="00786F79"/>
    <w:rsid w:val="00787357"/>
    <w:rsid w:val="007873C1"/>
    <w:rsid w:val="007873C3"/>
    <w:rsid w:val="007873E3"/>
    <w:rsid w:val="0078751C"/>
    <w:rsid w:val="007875BB"/>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AF7"/>
    <w:rsid w:val="00793CAB"/>
    <w:rsid w:val="00793CD1"/>
    <w:rsid w:val="00793CE3"/>
    <w:rsid w:val="00793F4C"/>
    <w:rsid w:val="00794010"/>
    <w:rsid w:val="0079405E"/>
    <w:rsid w:val="00794238"/>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2BE"/>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6B"/>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0CDC"/>
    <w:rsid w:val="007B0F80"/>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0E6B"/>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56"/>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AE9"/>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0B7"/>
    <w:rsid w:val="007D4245"/>
    <w:rsid w:val="007D4293"/>
    <w:rsid w:val="007D480B"/>
    <w:rsid w:val="007D4867"/>
    <w:rsid w:val="007D48A9"/>
    <w:rsid w:val="007D492B"/>
    <w:rsid w:val="007D4983"/>
    <w:rsid w:val="007D4B5C"/>
    <w:rsid w:val="007D4CD9"/>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8D0"/>
    <w:rsid w:val="007D7A89"/>
    <w:rsid w:val="007D7B16"/>
    <w:rsid w:val="007D7C51"/>
    <w:rsid w:val="007D7D39"/>
    <w:rsid w:val="007E0381"/>
    <w:rsid w:val="007E048F"/>
    <w:rsid w:val="007E0603"/>
    <w:rsid w:val="007E0645"/>
    <w:rsid w:val="007E08A1"/>
    <w:rsid w:val="007E0939"/>
    <w:rsid w:val="007E0B48"/>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871"/>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6FE7"/>
    <w:rsid w:val="007E72DD"/>
    <w:rsid w:val="007E732D"/>
    <w:rsid w:val="007E747A"/>
    <w:rsid w:val="007E750A"/>
    <w:rsid w:val="007E761A"/>
    <w:rsid w:val="007E7AD7"/>
    <w:rsid w:val="007E7DF4"/>
    <w:rsid w:val="007E7ED3"/>
    <w:rsid w:val="007E7EE2"/>
    <w:rsid w:val="007E7F95"/>
    <w:rsid w:val="007F0211"/>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69"/>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C82"/>
    <w:rsid w:val="0080016C"/>
    <w:rsid w:val="008001CE"/>
    <w:rsid w:val="00800249"/>
    <w:rsid w:val="00800280"/>
    <w:rsid w:val="00800323"/>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AE9"/>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857"/>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8D"/>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1CF"/>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3D7"/>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83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1F"/>
    <w:rsid w:val="0083395D"/>
    <w:rsid w:val="008341BF"/>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6ED7"/>
    <w:rsid w:val="0083704D"/>
    <w:rsid w:val="008371DF"/>
    <w:rsid w:val="00837357"/>
    <w:rsid w:val="00837811"/>
    <w:rsid w:val="00837AA8"/>
    <w:rsid w:val="00837AC1"/>
    <w:rsid w:val="00837AD4"/>
    <w:rsid w:val="00837C10"/>
    <w:rsid w:val="00837C21"/>
    <w:rsid w:val="00837CFE"/>
    <w:rsid w:val="00837E80"/>
    <w:rsid w:val="00837E91"/>
    <w:rsid w:val="00837E9E"/>
    <w:rsid w:val="00837F05"/>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0B3"/>
    <w:rsid w:val="0084534E"/>
    <w:rsid w:val="0084548A"/>
    <w:rsid w:val="00845604"/>
    <w:rsid w:val="00845C18"/>
    <w:rsid w:val="00845D51"/>
    <w:rsid w:val="00845D5A"/>
    <w:rsid w:val="008462D7"/>
    <w:rsid w:val="008466A0"/>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8CA"/>
    <w:rsid w:val="00850AFA"/>
    <w:rsid w:val="00850B2A"/>
    <w:rsid w:val="00850B8E"/>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527"/>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6C78"/>
    <w:rsid w:val="0085718C"/>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0D"/>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1DF"/>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38"/>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C53"/>
    <w:rsid w:val="00884F12"/>
    <w:rsid w:val="008850C2"/>
    <w:rsid w:val="008850EF"/>
    <w:rsid w:val="008851ED"/>
    <w:rsid w:val="00885409"/>
    <w:rsid w:val="00885448"/>
    <w:rsid w:val="00885633"/>
    <w:rsid w:val="00885811"/>
    <w:rsid w:val="00885905"/>
    <w:rsid w:val="0088597F"/>
    <w:rsid w:val="00885D46"/>
    <w:rsid w:val="00885D73"/>
    <w:rsid w:val="00885EB7"/>
    <w:rsid w:val="00885F02"/>
    <w:rsid w:val="008861C6"/>
    <w:rsid w:val="0088631A"/>
    <w:rsid w:val="00886533"/>
    <w:rsid w:val="00886C65"/>
    <w:rsid w:val="00886E7E"/>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4F7"/>
    <w:rsid w:val="00890728"/>
    <w:rsid w:val="00890780"/>
    <w:rsid w:val="00890812"/>
    <w:rsid w:val="00890A87"/>
    <w:rsid w:val="00890F06"/>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EF"/>
    <w:rsid w:val="00896BFE"/>
    <w:rsid w:val="00896C9E"/>
    <w:rsid w:val="00896D12"/>
    <w:rsid w:val="008972B0"/>
    <w:rsid w:val="0089762D"/>
    <w:rsid w:val="008978F0"/>
    <w:rsid w:val="008979A2"/>
    <w:rsid w:val="00897CD7"/>
    <w:rsid w:val="008A0463"/>
    <w:rsid w:val="008A069D"/>
    <w:rsid w:val="008A0767"/>
    <w:rsid w:val="008A0B3C"/>
    <w:rsid w:val="008A0F40"/>
    <w:rsid w:val="008A114F"/>
    <w:rsid w:val="008A198E"/>
    <w:rsid w:val="008A1BAB"/>
    <w:rsid w:val="008A1CC1"/>
    <w:rsid w:val="008A1E23"/>
    <w:rsid w:val="008A237E"/>
    <w:rsid w:val="008A2407"/>
    <w:rsid w:val="008A242B"/>
    <w:rsid w:val="008A2730"/>
    <w:rsid w:val="008A282E"/>
    <w:rsid w:val="008A29FD"/>
    <w:rsid w:val="008A2CBB"/>
    <w:rsid w:val="008A2D6F"/>
    <w:rsid w:val="008A2ED4"/>
    <w:rsid w:val="008A32E7"/>
    <w:rsid w:val="008A3803"/>
    <w:rsid w:val="008A38E3"/>
    <w:rsid w:val="008A3A28"/>
    <w:rsid w:val="008A3B2C"/>
    <w:rsid w:val="008A3B51"/>
    <w:rsid w:val="008A3EB1"/>
    <w:rsid w:val="008A3F2A"/>
    <w:rsid w:val="008A41CE"/>
    <w:rsid w:val="008A41DF"/>
    <w:rsid w:val="008A4796"/>
    <w:rsid w:val="008A4A77"/>
    <w:rsid w:val="008A4B5E"/>
    <w:rsid w:val="008A4B7E"/>
    <w:rsid w:val="008A4BDE"/>
    <w:rsid w:val="008A4D9A"/>
    <w:rsid w:val="008A52CC"/>
    <w:rsid w:val="008A5398"/>
    <w:rsid w:val="008A53D2"/>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AC5"/>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3C"/>
    <w:rsid w:val="008B4C73"/>
    <w:rsid w:val="008B4DD3"/>
    <w:rsid w:val="008B4E26"/>
    <w:rsid w:val="008B4E67"/>
    <w:rsid w:val="008B5270"/>
    <w:rsid w:val="008B5336"/>
    <w:rsid w:val="008B5432"/>
    <w:rsid w:val="008B5785"/>
    <w:rsid w:val="008B59C0"/>
    <w:rsid w:val="008B5AB2"/>
    <w:rsid w:val="008B5C1A"/>
    <w:rsid w:val="008B5FFB"/>
    <w:rsid w:val="008B6197"/>
    <w:rsid w:val="008B6220"/>
    <w:rsid w:val="008B63E5"/>
    <w:rsid w:val="008B640F"/>
    <w:rsid w:val="008B645E"/>
    <w:rsid w:val="008B65FC"/>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E8D"/>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35C"/>
    <w:rsid w:val="008E28A5"/>
    <w:rsid w:val="008E298E"/>
    <w:rsid w:val="008E2DEF"/>
    <w:rsid w:val="008E2EA9"/>
    <w:rsid w:val="008E2F78"/>
    <w:rsid w:val="008E2FB9"/>
    <w:rsid w:val="008E308B"/>
    <w:rsid w:val="008E3292"/>
    <w:rsid w:val="008E333E"/>
    <w:rsid w:val="008E3B5B"/>
    <w:rsid w:val="008E3C89"/>
    <w:rsid w:val="008E3CA1"/>
    <w:rsid w:val="008E3CEB"/>
    <w:rsid w:val="008E3CF9"/>
    <w:rsid w:val="008E3D68"/>
    <w:rsid w:val="008E3E13"/>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DEB"/>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1F9"/>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D01"/>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973"/>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283"/>
    <w:rsid w:val="00906996"/>
    <w:rsid w:val="009069A3"/>
    <w:rsid w:val="00906D3B"/>
    <w:rsid w:val="00906E61"/>
    <w:rsid w:val="00907066"/>
    <w:rsid w:val="0090717F"/>
    <w:rsid w:val="009071D7"/>
    <w:rsid w:val="009075C0"/>
    <w:rsid w:val="00907B53"/>
    <w:rsid w:val="00907C8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0"/>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5F13"/>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53C"/>
    <w:rsid w:val="009206E2"/>
    <w:rsid w:val="00920777"/>
    <w:rsid w:val="009209FB"/>
    <w:rsid w:val="00920C09"/>
    <w:rsid w:val="00920C44"/>
    <w:rsid w:val="00920C8E"/>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8CC"/>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1D9"/>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7FA"/>
    <w:rsid w:val="00941BB2"/>
    <w:rsid w:val="00941D36"/>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09"/>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646"/>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20"/>
    <w:rsid w:val="009547A7"/>
    <w:rsid w:val="00954DB9"/>
    <w:rsid w:val="00954F12"/>
    <w:rsid w:val="00954F5D"/>
    <w:rsid w:val="0095502C"/>
    <w:rsid w:val="009552E8"/>
    <w:rsid w:val="00955B3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83E"/>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6F7D"/>
    <w:rsid w:val="0096713B"/>
    <w:rsid w:val="0096720F"/>
    <w:rsid w:val="00967210"/>
    <w:rsid w:val="009672D3"/>
    <w:rsid w:val="00967513"/>
    <w:rsid w:val="00967A58"/>
    <w:rsid w:val="00967D01"/>
    <w:rsid w:val="00967D0F"/>
    <w:rsid w:val="00967E67"/>
    <w:rsid w:val="00967ECC"/>
    <w:rsid w:val="00970303"/>
    <w:rsid w:val="009706BF"/>
    <w:rsid w:val="00970862"/>
    <w:rsid w:val="0097086F"/>
    <w:rsid w:val="00970C01"/>
    <w:rsid w:val="00970C1B"/>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7B2"/>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8FA"/>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01A"/>
    <w:rsid w:val="00987256"/>
    <w:rsid w:val="00987603"/>
    <w:rsid w:val="009878FE"/>
    <w:rsid w:val="00987A5E"/>
    <w:rsid w:val="00987A7F"/>
    <w:rsid w:val="00987A95"/>
    <w:rsid w:val="00987CBD"/>
    <w:rsid w:val="00987D10"/>
    <w:rsid w:val="00987F74"/>
    <w:rsid w:val="0099036B"/>
    <w:rsid w:val="009906E2"/>
    <w:rsid w:val="009907F8"/>
    <w:rsid w:val="00990878"/>
    <w:rsid w:val="00990A89"/>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4AB"/>
    <w:rsid w:val="009969CA"/>
    <w:rsid w:val="0099708C"/>
    <w:rsid w:val="0099709E"/>
    <w:rsid w:val="00997308"/>
    <w:rsid w:val="0099735C"/>
    <w:rsid w:val="00997395"/>
    <w:rsid w:val="00997495"/>
    <w:rsid w:val="0099762E"/>
    <w:rsid w:val="0099780B"/>
    <w:rsid w:val="0099785E"/>
    <w:rsid w:val="009979A8"/>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3F81"/>
    <w:rsid w:val="009A4086"/>
    <w:rsid w:val="009A4180"/>
    <w:rsid w:val="009A445C"/>
    <w:rsid w:val="009A496E"/>
    <w:rsid w:val="009A4BFB"/>
    <w:rsid w:val="009A4C5A"/>
    <w:rsid w:val="009A4C6B"/>
    <w:rsid w:val="009A4D1D"/>
    <w:rsid w:val="009A5244"/>
    <w:rsid w:val="009A534F"/>
    <w:rsid w:val="009A539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BEE"/>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55"/>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93D"/>
    <w:rsid w:val="009D4A13"/>
    <w:rsid w:val="009D4BC6"/>
    <w:rsid w:val="009D4CB8"/>
    <w:rsid w:val="009D4DB0"/>
    <w:rsid w:val="009D5015"/>
    <w:rsid w:val="009D5221"/>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240"/>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270"/>
    <w:rsid w:val="009F1428"/>
    <w:rsid w:val="009F152C"/>
    <w:rsid w:val="009F178C"/>
    <w:rsid w:val="009F19FC"/>
    <w:rsid w:val="009F1AAB"/>
    <w:rsid w:val="009F1B6E"/>
    <w:rsid w:val="009F1CB9"/>
    <w:rsid w:val="009F1E22"/>
    <w:rsid w:val="009F2076"/>
    <w:rsid w:val="009F2295"/>
    <w:rsid w:val="009F2467"/>
    <w:rsid w:val="009F297A"/>
    <w:rsid w:val="009F2B85"/>
    <w:rsid w:val="009F302A"/>
    <w:rsid w:val="009F3032"/>
    <w:rsid w:val="009F306B"/>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347"/>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81"/>
    <w:rsid w:val="00A052ED"/>
    <w:rsid w:val="00A05371"/>
    <w:rsid w:val="00A054C9"/>
    <w:rsid w:val="00A05AC6"/>
    <w:rsid w:val="00A060B4"/>
    <w:rsid w:val="00A060EB"/>
    <w:rsid w:val="00A0636B"/>
    <w:rsid w:val="00A06CF7"/>
    <w:rsid w:val="00A06D47"/>
    <w:rsid w:val="00A06D88"/>
    <w:rsid w:val="00A06E6F"/>
    <w:rsid w:val="00A070DD"/>
    <w:rsid w:val="00A07365"/>
    <w:rsid w:val="00A07506"/>
    <w:rsid w:val="00A07514"/>
    <w:rsid w:val="00A07558"/>
    <w:rsid w:val="00A078AB"/>
    <w:rsid w:val="00A102D1"/>
    <w:rsid w:val="00A1031F"/>
    <w:rsid w:val="00A108F7"/>
    <w:rsid w:val="00A10914"/>
    <w:rsid w:val="00A10A9E"/>
    <w:rsid w:val="00A10CD3"/>
    <w:rsid w:val="00A10D24"/>
    <w:rsid w:val="00A10F73"/>
    <w:rsid w:val="00A11148"/>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4D3"/>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E55"/>
    <w:rsid w:val="00A14FC0"/>
    <w:rsid w:val="00A14FF6"/>
    <w:rsid w:val="00A15033"/>
    <w:rsid w:val="00A15341"/>
    <w:rsid w:val="00A155F1"/>
    <w:rsid w:val="00A15748"/>
    <w:rsid w:val="00A15789"/>
    <w:rsid w:val="00A158D0"/>
    <w:rsid w:val="00A15A0C"/>
    <w:rsid w:val="00A15BD6"/>
    <w:rsid w:val="00A15D2E"/>
    <w:rsid w:val="00A15D94"/>
    <w:rsid w:val="00A15E30"/>
    <w:rsid w:val="00A15EB8"/>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0E3"/>
    <w:rsid w:val="00A212E5"/>
    <w:rsid w:val="00A21376"/>
    <w:rsid w:val="00A2150A"/>
    <w:rsid w:val="00A2180C"/>
    <w:rsid w:val="00A21940"/>
    <w:rsid w:val="00A219A3"/>
    <w:rsid w:val="00A21B27"/>
    <w:rsid w:val="00A21CAE"/>
    <w:rsid w:val="00A21E42"/>
    <w:rsid w:val="00A21E7F"/>
    <w:rsid w:val="00A221B5"/>
    <w:rsid w:val="00A2236B"/>
    <w:rsid w:val="00A225F2"/>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9E8"/>
    <w:rsid w:val="00A30B0B"/>
    <w:rsid w:val="00A30C76"/>
    <w:rsid w:val="00A30CDF"/>
    <w:rsid w:val="00A30DB6"/>
    <w:rsid w:val="00A31059"/>
    <w:rsid w:val="00A31572"/>
    <w:rsid w:val="00A317A5"/>
    <w:rsid w:val="00A3190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E8B"/>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170"/>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09A"/>
    <w:rsid w:val="00A513EA"/>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1F4"/>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3F"/>
    <w:rsid w:val="00A66F32"/>
    <w:rsid w:val="00A67120"/>
    <w:rsid w:val="00A6739E"/>
    <w:rsid w:val="00A676A8"/>
    <w:rsid w:val="00A67883"/>
    <w:rsid w:val="00A67886"/>
    <w:rsid w:val="00A678A4"/>
    <w:rsid w:val="00A6790D"/>
    <w:rsid w:val="00A6799F"/>
    <w:rsid w:val="00A67C35"/>
    <w:rsid w:val="00A70367"/>
    <w:rsid w:val="00A7040A"/>
    <w:rsid w:val="00A704FC"/>
    <w:rsid w:val="00A70505"/>
    <w:rsid w:val="00A70812"/>
    <w:rsid w:val="00A7096A"/>
    <w:rsid w:val="00A709A7"/>
    <w:rsid w:val="00A709FA"/>
    <w:rsid w:val="00A70BA3"/>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1C8"/>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759"/>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77EBD"/>
    <w:rsid w:val="00A80272"/>
    <w:rsid w:val="00A804D4"/>
    <w:rsid w:val="00A805DE"/>
    <w:rsid w:val="00A80976"/>
    <w:rsid w:val="00A809FD"/>
    <w:rsid w:val="00A80D5E"/>
    <w:rsid w:val="00A80D6F"/>
    <w:rsid w:val="00A81355"/>
    <w:rsid w:val="00A813D8"/>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0C5"/>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AF5"/>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6F1C"/>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1D01"/>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1C1"/>
    <w:rsid w:val="00AA54CD"/>
    <w:rsid w:val="00AA5555"/>
    <w:rsid w:val="00AA5577"/>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472"/>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3F6"/>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845"/>
    <w:rsid w:val="00AB595D"/>
    <w:rsid w:val="00AB5A1A"/>
    <w:rsid w:val="00AB5AAE"/>
    <w:rsid w:val="00AB5ADA"/>
    <w:rsid w:val="00AB5BBE"/>
    <w:rsid w:val="00AB5BEE"/>
    <w:rsid w:val="00AB5C18"/>
    <w:rsid w:val="00AB5CD2"/>
    <w:rsid w:val="00AB5CDF"/>
    <w:rsid w:val="00AB5F84"/>
    <w:rsid w:val="00AB6251"/>
    <w:rsid w:val="00AB629E"/>
    <w:rsid w:val="00AB62EC"/>
    <w:rsid w:val="00AB6356"/>
    <w:rsid w:val="00AB638F"/>
    <w:rsid w:val="00AB659A"/>
    <w:rsid w:val="00AB66B6"/>
    <w:rsid w:val="00AB673C"/>
    <w:rsid w:val="00AB6741"/>
    <w:rsid w:val="00AB69CE"/>
    <w:rsid w:val="00AB6B08"/>
    <w:rsid w:val="00AB6B2B"/>
    <w:rsid w:val="00AB72AD"/>
    <w:rsid w:val="00AB7706"/>
    <w:rsid w:val="00AB7AE3"/>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51F"/>
    <w:rsid w:val="00AC3717"/>
    <w:rsid w:val="00AC39D0"/>
    <w:rsid w:val="00AC3A68"/>
    <w:rsid w:val="00AC3B16"/>
    <w:rsid w:val="00AC3FBF"/>
    <w:rsid w:val="00AC424F"/>
    <w:rsid w:val="00AC45E1"/>
    <w:rsid w:val="00AC4C08"/>
    <w:rsid w:val="00AC511C"/>
    <w:rsid w:val="00AC5357"/>
    <w:rsid w:val="00AC566A"/>
    <w:rsid w:val="00AC5DDE"/>
    <w:rsid w:val="00AC5E99"/>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1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236"/>
    <w:rsid w:val="00AE3310"/>
    <w:rsid w:val="00AE354F"/>
    <w:rsid w:val="00AE37A1"/>
    <w:rsid w:val="00AE3956"/>
    <w:rsid w:val="00AE3A38"/>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A2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21E"/>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C17"/>
    <w:rsid w:val="00AF6DB3"/>
    <w:rsid w:val="00AF6DD6"/>
    <w:rsid w:val="00AF6F80"/>
    <w:rsid w:val="00AF70CB"/>
    <w:rsid w:val="00AF717E"/>
    <w:rsid w:val="00AF7535"/>
    <w:rsid w:val="00AF799C"/>
    <w:rsid w:val="00B00000"/>
    <w:rsid w:val="00B00959"/>
    <w:rsid w:val="00B00B19"/>
    <w:rsid w:val="00B00D80"/>
    <w:rsid w:val="00B00F03"/>
    <w:rsid w:val="00B00FE3"/>
    <w:rsid w:val="00B012CC"/>
    <w:rsid w:val="00B01732"/>
    <w:rsid w:val="00B0177D"/>
    <w:rsid w:val="00B01887"/>
    <w:rsid w:val="00B01E07"/>
    <w:rsid w:val="00B0237B"/>
    <w:rsid w:val="00B02557"/>
    <w:rsid w:val="00B02BFB"/>
    <w:rsid w:val="00B030F8"/>
    <w:rsid w:val="00B03106"/>
    <w:rsid w:val="00B03253"/>
    <w:rsid w:val="00B03260"/>
    <w:rsid w:val="00B0332F"/>
    <w:rsid w:val="00B033A6"/>
    <w:rsid w:val="00B03895"/>
    <w:rsid w:val="00B03904"/>
    <w:rsid w:val="00B03A5D"/>
    <w:rsid w:val="00B03A95"/>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2DFE"/>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0D"/>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0AA"/>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9BB"/>
    <w:rsid w:val="00B30A5C"/>
    <w:rsid w:val="00B30AFC"/>
    <w:rsid w:val="00B30C8B"/>
    <w:rsid w:val="00B30CFB"/>
    <w:rsid w:val="00B30E52"/>
    <w:rsid w:val="00B30F48"/>
    <w:rsid w:val="00B31025"/>
    <w:rsid w:val="00B31204"/>
    <w:rsid w:val="00B314AB"/>
    <w:rsid w:val="00B31566"/>
    <w:rsid w:val="00B31581"/>
    <w:rsid w:val="00B31982"/>
    <w:rsid w:val="00B319BB"/>
    <w:rsid w:val="00B31A2B"/>
    <w:rsid w:val="00B31A5C"/>
    <w:rsid w:val="00B31FDF"/>
    <w:rsid w:val="00B320DA"/>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D91"/>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61"/>
    <w:rsid w:val="00B443C7"/>
    <w:rsid w:val="00B44697"/>
    <w:rsid w:val="00B446B0"/>
    <w:rsid w:val="00B446CA"/>
    <w:rsid w:val="00B447CE"/>
    <w:rsid w:val="00B447D6"/>
    <w:rsid w:val="00B44803"/>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21"/>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4F9B"/>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0AD5"/>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D40"/>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479"/>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734"/>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4F64"/>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2F60"/>
    <w:rsid w:val="00BA3271"/>
    <w:rsid w:val="00BA3A40"/>
    <w:rsid w:val="00BA3FED"/>
    <w:rsid w:val="00BA401F"/>
    <w:rsid w:val="00BA424C"/>
    <w:rsid w:val="00BA43C9"/>
    <w:rsid w:val="00BA44AD"/>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32"/>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2"/>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B2C"/>
    <w:rsid w:val="00BB3C76"/>
    <w:rsid w:val="00BB3EB4"/>
    <w:rsid w:val="00BB4212"/>
    <w:rsid w:val="00BB4403"/>
    <w:rsid w:val="00BB46BF"/>
    <w:rsid w:val="00BB4858"/>
    <w:rsid w:val="00BB48C1"/>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022"/>
    <w:rsid w:val="00BC13D1"/>
    <w:rsid w:val="00BC1472"/>
    <w:rsid w:val="00BC17C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06"/>
    <w:rsid w:val="00BC3E8D"/>
    <w:rsid w:val="00BC41B4"/>
    <w:rsid w:val="00BC44C8"/>
    <w:rsid w:val="00BC452B"/>
    <w:rsid w:val="00BC47FA"/>
    <w:rsid w:val="00BC48C2"/>
    <w:rsid w:val="00BC4FA8"/>
    <w:rsid w:val="00BC504D"/>
    <w:rsid w:val="00BC5061"/>
    <w:rsid w:val="00BC506F"/>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99"/>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AA7"/>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BF7E14"/>
    <w:rsid w:val="00C0000C"/>
    <w:rsid w:val="00C0079C"/>
    <w:rsid w:val="00C0083C"/>
    <w:rsid w:val="00C009F0"/>
    <w:rsid w:val="00C010A8"/>
    <w:rsid w:val="00C0141D"/>
    <w:rsid w:val="00C014DE"/>
    <w:rsid w:val="00C0152B"/>
    <w:rsid w:val="00C0164A"/>
    <w:rsid w:val="00C01798"/>
    <w:rsid w:val="00C017BF"/>
    <w:rsid w:val="00C0198D"/>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4C"/>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B24"/>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A13"/>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3D"/>
    <w:rsid w:val="00C429B4"/>
    <w:rsid w:val="00C42A62"/>
    <w:rsid w:val="00C42B80"/>
    <w:rsid w:val="00C430C6"/>
    <w:rsid w:val="00C43A72"/>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72B"/>
    <w:rsid w:val="00C47885"/>
    <w:rsid w:val="00C478C9"/>
    <w:rsid w:val="00C47A6F"/>
    <w:rsid w:val="00C47D7C"/>
    <w:rsid w:val="00C47F39"/>
    <w:rsid w:val="00C50321"/>
    <w:rsid w:val="00C50FB7"/>
    <w:rsid w:val="00C510DD"/>
    <w:rsid w:val="00C511E3"/>
    <w:rsid w:val="00C517F3"/>
    <w:rsid w:val="00C51E31"/>
    <w:rsid w:val="00C51E7E"/>
    <w:rsid w:val="00C5238E"/>
    <w:rsid w:val="00C52399"/>
    <w:rsid w:val="00C5258C"/>
    <w:rsid w:val="00C525DD"/>
    <w:rsid w:val="00C52734"/>
    <w:rsid w:val="00C5277F"/>
    <w:rsid w:val="00C527E5"/>
    <w:rsid w:val="00C529F8"/>
    <w:rsid w:val="00C52A62"/>
    <w:rsid w:val="00C52A68"/>
    <w:rsid w:val="00C52ABC"/>
    <w:rsid w:val="00C52B20"/>
    <w:rsid w:val="00C52D1E"/>
    <w:rsid w:val="00C52E02"/>
    <w:rsid w:val="00C52E6C"/>
    <w:rsid w:val="00C52E79"/>
    <w:rsid w:val="00C534AD"/>
    <w:rsid w:val="00C534DB"/>
    <w:rsid w:val="00C53669"/>
    <w:rsid w:val="00C536D8"/>
    <w:rsid w:val="00C5370C"/>
    <w:rsid w:val="00C53937"/>
    <w:rsid w:val="00C53BD5"/>
    <w:rsid w:val="00C53BFF"/>
    <w:rsid w:val="00C53D31"/>
    <w:rsid w:val="00C53D90"/>
    <w:rsid w:val="00C53DD8"/>
    <w:rsid w:val="00C53ECF"/>
    <w:rsid w:val="00C544A2"/>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518"/>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B02"/>
    <w:rsid w:val="00C62C6C"/>
    <w:rsid w:val="00C63309"/>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0D4"/>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370"/>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758"/>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3"/>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8DE"/>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151"/>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CDA"/>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7BA"/>
    <w:rsid w:val="00CA692E"/>
    <w:rsid w:val="00CA6C1F"/>
    <w:rsid w:val="00CA6E0A"/>
    <w:rsid w:val="00CA6EC9"/>
    <w:rsid w:val="00CA7115"/>
    <w:rsid w:val="00CA7143"/>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AC"/>
    <w:rsid w:val="00CB3AD8"/>
    <w:rsid w:val="00CB3B97"/>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A9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A"/>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067"/>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98D"/>
    <w:rsid w:val="00CD5B99"/>
    <w:rsid w:val="00CD5C88"/>
    <w:rsid w:val="00CD620A"/>
    <w:rsid w:val="00CD6500"/>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2D0A"/>
    <w:rsid w:val="00CF304C"/>
    <w:rsid w:val="00CF393C"/>
    <w:rsid w:val="00CF3C43"/>
    <w:rsid w:val="00CF3C57"/>
    <w:rsid w:val="00CF404F"/>
    <w:rsid w:val="00CF414C"/>
    <w:rsid w:val="00CF4219"/>
    <w:rsid w:val="00CF44C8"/>
    <w:rsid w:val="00CF4656"/>
    <w:rsid w:val="00CF4D10"/>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0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E24"/>
    <w:rsid w:val="00D13FC6"/>
    <w:rsid w:val="00D14453"/>
    <w:rsid w:val="00D14564"/>
    <w:rsid w:val="00D14879"/>
    <w:rsid w:val="00D14B41"/>
    <w:rsid w:val="00D14B54"/>
    <w:rsid w:val="00D14CF3"/>
    <w:rsid w:val="00D14E2E"/>
    <w:rsid w:val="00D1520A"/>
    <w:rsid w:val="00D1542D"/>
    <w:rsid w:val="00D15649"/>
    <w:rsid w:val="00D1577A"/>
    <w:rsid w:val="00D15AEC"/>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2E0"/>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04"/>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17B"/>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532"/>
    <w:rsid w:val="00D358EF"/>
    <w:rsid w:val="00D358F3"/>
    <w:rsid w:val="00D358FB"/>
    <w:rsid w:val="00D3595F"/>
    <w:rsid w:val="00D35963"/>
    <w:rsid w:val="00D3596D"/>
    <w:rsid w:val="00D35D1E"/>
    <w:rsid w:val="00D35D53"/>
    <w:rsid w:val="00D35D9C"/>
    <w:rsid w:val="00D35E78"/>
    <w:rsid w:val="00D3615D"/>
    <w:rsid w:val="00D3648B"/>
    <w:rsid w:val="00D36624"/>
    <w:rsid w:val="00D36DF4"/>
    <w:rsid w:val="00D36E5C"/>
    <w:rsid w:val="00D36F82"/>
    <w:rsid w:val="00D3727B"/>
    <w:rsid w:val="00D373F2"/>
    <w:rsid w:val="00D376B7"/>
    <w:rsid w:val="00D3793B"/>
    <w:rsid w:val="00D379A5"/>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C88"/>
    <w:rsid w:val="00D41DC9"/>
    <w:rsid w:val="00D4205D"/>
    <w:rsid w:val="00D420B7"/>
    <w:rsid w:val="00D4252D"/>
    <w:rsid w:val="00D42685"/>
    <w:rsid w:val="00D42902"/>
    <w:rsid w:val="00D4299C"/>
    <w:rsid w:val="00D42A22"/>
    <w:rsid w:val="00D42AE4"/>
    <w:rsid w:val="00D42B1F"/>
    <w:rsid w:val="00D42E3D"/>
    <w:rsid w:val="00D42FC8"/>
    <w:rsid w:val="00D4327C"/>
    <w:rsid w:val="00D4342E"/>
    <w:rsid w:val="00D4355D"/>
    <w:rsid w:val="00D436D6"/>
    <w:rsid w:val="00D437C4"/>
    <w:rsid w:val="00D43839"/>
    <w:rsid w:val="00D43BF1"/>
    <w:rsid w:val="00D43E54"/>
    <w:rsid w:val="00D44042"/>
    <w:rsid w:val="00D4422A"/>
    <w:rsid w:val="00D442EF"/>
    <w:rsid w:val="00D44441"/>
    <w:rsid w:val="00D444BA"/>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BA"/>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CD2"/>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72"/>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27"/>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303"/>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44F"/>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3B"/>
    <w:rsid w:val="00DB21EB"/>
    <w:rsid w:val="00DB2247"/>
    <w:rsid w:val="00DB243C"/>
    <w:rsid w:val="00DB25EC"/>
    <w:rsid w:val="00DB2686"/>
    <w:rsid w:val="00DB341E"/>
    <w:rsid w:val="00DB34E0"/>
    <w:rsid w:val="00DB3623"/>
    <w:rsid w:val="00DB367D"/>
    <w:rsid w:val="00DB383A"/>
    <w:rsid w:val="00DB399C"/>
    <w:rsid w:val="00DB3C3F"/>
    <w:rsid w:val="00DB3EA4"/>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7B"/>
    <w:rsid w:val="00DB7597"/>
    <w:rsid w:val="00DB765A"/>
    <w:rsid w:val="00DB77DD"/>
    <w:rsid w:val="00DB790E"/>
    <w:rsid w:val="00DB7B22"/>
    <w:rsid w:val="00DB7C45"/>
    <w:rsid w:val="00DC0172"/>
    <w:rsid w:val="00DC01C3"/>
    <w:rsid w:val="00DC0328"/>
    <w:rsid w:val="00DC034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6A6"/>
    <w:rsid w:val="00DC49D5"/>
    <w:rsid w:val="00DC4AFB"/>
    <w:rsid w:val="00DC4BE5"/>
    <w:rsid w:val="00DC4C6B"/>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0BF4"/>
    <w:rsid w:val="00DD1009"/>
    <w:rsid w:val="00DD1146"/>
    <w:rsid w:val="00DD1378"/>
    <w:rsid w:val="00DD140A"/>
    <w:rsid w:val="00DD1506"/>
    <w:rsid w:val="00DD157D"/>
    <w:rsid w:val="00DD1676"/>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04"/>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A74"/>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C6C"/>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30F"/>
    <w:rsid w:val="00DE4552"/>
    <w:rsid w:val="00DE4720"/>
    <w:rsid w:val="00DE48A4"/>
    <w:rsid w:val="00DE493D"/>
    <w:rsid w:val="00DE4B9F"/>
    <w:rsid w:val="00DE4C0C"/>
    <w:rsid w:val="00DE4EA3"/>
    <w:rsid w:val="00DE502D"/>
    <w:rsid w:val="00DE5388"/>
    <w:rsid w:val="00DE55FC"/>
    <w:rsid w:val="00DE57C4"/>
    <w:rsid w:val="00DE5B92"/>
    <w:rsid w:val="00DE6392"/>
    <w:rsid w:val="00DE6674"/>
    <w:rsid w:val="00DE66E1"/>
    <w:rsid w:val="00DE6796"/>
    <w:rsid w:val="00DE6844"/>
    <w:rsid w:val="00DE6D82"/>
    <w:rsid w:val="00DE6D9D"/>
    <w:rsid w:val="00DE6E69"/>
    <w:rsid w:val="00DE6EEB"/>
    <w:rsid w:val="00DE6EED"/>
    <w:rsid w:val="00DE6EF2"/>
    <w:rsid w:val="00DE762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B4C"/>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ADF"/>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64"/>
    <w:rsid w:val="00E14C91"/>
    <w:rsid w:val="00E14EBB"/>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6F7"/>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D1E"/>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3AB"/>
    <w:rsid w:val="00E26530"/>
    <w:rsid w:val="00E26562"/>
    <w:rsid w:val="00E265CF"/>
    <w:rsid w:val="00E266AB"/>
    <w:rsid w:val="00E2672B"/>
    <w:rsid w:val="00E26748"/>
    <w:rsid w:val="00E26CA9"/>
    <w:rsid w:val="00E2701A"/>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36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C64"/>
    <w:rsid w:val="00E34DFA"/>
    <w:rsid w:val="00E34DFF"/>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49"/>
    <w:rsid w:val="00E37FD7"/>
    <w:rsid w:val="00E4006C"/>
    <w:rsid w:val="00E400DC"/>
    <w:rsid w:val="00E4011E"/>
    <w:rsid w:val="00E40299"/>
    <w:rsid w:val="00E405E9"/>
    <w:rsid w:val="00E40774"/>
    <w:rsid w:val="00E40B32"/>
    <w:rsid w:val="00E40CE6"/>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3F87"/>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F26"/>
    <w:rsid w:val="00E46075"/>
    <w:rsid w:val="00E4608C"/>
    <w:rsid w:val="00E46445"/>
    <w:rsid w:val="00E46553"/>
    <w:rsid w:val="00E466B7"/>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42B"/>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2FEA"/>
    <w:rsid w:val="00E53067"/>
    <w:rsid w:val="00E5332F"/>
    <w:rsid w:val="00E533A1"/>
    <w:rsid w:val="00E5341E"/>
    <w:rsid w:val="00E5358C"/>
    <w:rsid w:val="00E53624"/>
    <w:rsid w:val="00E536AF"/>
    <w:rsid w:val="00E538FA"/>
    <w:rsid w:val="00E53BDB"/>
    <w:rsid w:val="00E53C8C"/>
    <w:rsid w:val="00E53E1A"/>
    <w:rsid w:val="00E53E9C"/>
    <w:rsid w:val="00E541D2"/>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D6"/>
    <w:rsid w:val="00E57FE1"/>
    <w:rsid w:val="00E57FFC"/>
    <w:rsid w:val="00E6004D"/>
    <w:rsid w:val="00E60417"/>
    <w:rsid w:val="00E6053D"/>
    <w:rsid w:val="00E60810"/>
    <w:rsid w:val="00E6088E"/>
    <w:rsid w:val="00E60942"/>
    <w:rsid w:val="00E60C7D"/>
    <w:rsid w:val="00E60F5A"/>
    <w:rsid w:val="00E60F8F"/>
    <w:rsid w:val="00E611E1"/>
    <w:rsid w:val="00E6138E"/>
    <w:rsid w:val="00E61419"/>
    <w:rsid w:val="00E61647"/>
    <w:rsid w:val="00E61658"/>
    <w:rsid w:val="00E6182F"/>
    <w:rsid w:val="00E61DC9"/>
    <w:rsid w:val="00E61ED4"/>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07"/>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4B"/>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4A5"/>
    <w:rsid w:val="00E827B5"/>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A32"/>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460"/>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E52"/>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9A7"/>
    <w:rsid w:val="00EA6D06"/>
    <w:rsid w:val="00EA736E"/>
    <w:rsid w:val="00EA7648"/>
    <w:rsid w:val="00EA7934"/>
    <w:rsid w:val="00EA794E"/>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7F8"/>
    <w:rsid w:val="00EB6872"/>
    <w:rsid w:val="00EB6BF4"/>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899"/>
    <w:rsid w:val="00EC18F8"/>
    <w:rsid w:val="00EC1993"/>
    <w:rsid w:val="00EC19AE"/>
    <w:rsid w:val="00EC2123"/>
    <w:rsid w:val="00EC218B"/>
    <w:rsid w:val="00EC2364"/>
    <w:rsid w:val="00EC25F1"/>
    <w:rsid w:val="00EC2607"/>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7CB"/>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D4E"/>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C99"/>
    <w:rsid w:val="00EE1D80"/>
    <w:rsid w:val="00EE1E3E"/>
    <w:rsid w:val="00EE2314"/>
    <w:rsid w:val="00EE244C"/>
    <w:rsid w:val="00EE244E"/>
    <w:rsid w:val="00EE25AA"/>
    <w:rsid w:val="00EE25CE"/>
    <w:rsid w:val="00EE2991"/>
    <w:rsid w:val="00EE2A50"/>
    <w:rsid w:val="00EE2D64"/>
    <w:rsid w:val="00EE2F25"/>
    <w:rsid w:val="00EE31C3"/>
    <w:rsid w:val="00EE334A"/>
    <w:rsid w:val="00EE3797"/>
    <w:rsid w:val="00EE380A"/>
    <w:rsid w:val="00EE3994"/>
    <w:rsid w:val="00EE3B63"/>
    <w:rsid w:val="00EE3B76"/>
    <w:rsid w:val="00EE3C77"/>
    <w:rsid w:val="00EE3C8B"/>
    <w:rsid w:val="00EE3F3E"/>
    <w:rsid w:val="00EE3FF1"/>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0F2C"/>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BAF"/>
    <w:rsid w:val="00EF4CD2"/>
    <w:rsid w:val="00EF4E7D"/>
    <w:rsid w:val="00EF4FE3"/>
    <w:rsid w:val="00EF5016"/>
    <w:rsid w:val="00EF51F9"/>
    <w:rsid w:val="00EF5211"/>
    <w:rsid w:val="00EF548C"/>
    <w:rsid w:val="00EF565C"/>
    <w:rsid w:val="00EF58B7"/>
    <w:rsid w:val="00EF5AD7"/>
    <w:rsid w:val="00EF5BE3"/>
    <w:rsid w:val="00EF5C38"/>
    <w:rsid w:val="00EF5D65"/>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2E5"/>
    <w:rsid w:val="00F0439A"/>
    <w:rsid w:val="00F04461"/>
    <w:rsid w:val="00F04703"/>
    <w:rsid w:val="00F049DD"/>
    <w:rsid w:val="00F04B5B"/>
    <w:rsid w:val="00F04CE1"/>
    <w:rsid w:val="00F0507E"/>
    <w:rsid w:val="00F050A7"/>
    <w:rsid w:val="00F05190"/>
    <w:rsid w:val="00F053EA"/>
    <w:rsid w:val="00F054D8"/>
    <w:rsid w:val="00F0559B"/>
    <w:rsid w:val="00F0561B"/>
    <w:rsid w:val="00F05755"/>
    <w:rsid w:val="00F05789"/>
    <w:rsid w:val="00F0594A"/>
    <w:rsid w:val="00F05BA9"/>
    <w:rsid w:val="00F06199"/>
    <w:rsid w:val="00F06919"/>
    <w:rsid w:val="00F06A73"/>
    <w:rsid w:val="00F06B95"/>
    <w:rsid w:val="00F06C2C"/>
    <w:rsid w:val="00F06DA4"/>
    <w:rsid w:val="00F07D4F"/>
    <w:rsid w:val="00F07DC2"/>
    <w:rsid w:val="00F07F24"/>
    <w:rsid w:val="00F07F33"/>
    <w:rsid w:val="00F103D8"/>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55A"/>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6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1B"/>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EA5"/>
    <w:rsid w:val="00F26FC4"/>
    <w:rsid w:val="00F2727A"/>
    <w:rsid w:val="00F272AD"/>
    <w:rsid w:val="00F2785A"/>
    <w:rsid w:val="00F278E1"/>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D26"/>
    <w:rsid w:val="00F34EAC"/>
    <w:rsid w:val="00F34EE3"/>
    <w:rsid w:val="00F3511E"/>
    <w:rsid w:val="00F35155"/>
    <w:rsid w:val="00F352F9"/>
    <w:rsid w:val="00F353BF"/>
    <w:rsid w:val="00F356B2"/>
    <w:rsid w:val="00F3575A"/>
    <w:rsid w:val="00F357B9"/>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256"/>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995"/>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B0C"/>
    <w:rsid w:val="00F47C76"/>
    <w:rsid w:val="00F47DA7"/>
    <w:rsid w:val="00F47EE0"/>
    <w:rsid w:val="00F47F65"/>
    <w:rsid w:val="00F500DE"/>
    <w:rsid w:val="00F50264"/>
    <w:rsid w:val="00F50293"/>
    <w:rsid w:val="00F50CB4"/>
    <w:rsid w:val="00F50D1E"/>
    <w:rsid w:val="00F50E76"/>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683"/>
    <w:rsid w:val="00F547FD"/>
    <w:rsid w:val="00F54983"/>
    <w:rsid w:val="00F54D92"/>
    <w:rsid w:val="00F54DA5"/>
    <w:rsid w:val="00F54FD4"/>
    <w:rsid w:val="00F550DB"/>
    <w:rsid w:val="00F550ED"/>
    <w:rsid w:val="00F55639"/>
    <w:rsid w:val="00F5586B"/>
    <w:rsid w:val="00F558DD"/>
    <w:rsid w:val="00F55A55"/>
    <w:rsid w:val="00F55B31"/>
    <w:rsid w:val="00F55C44"/>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60B"/>
    <w:rsid w:val="00F66B62"/>
    <w:rsid w:val="00F66ED4"/>
    <w:rsid w:val="00F66FB8"/>
    <w:rsid w:val="00F67256"/>
    <w:rsid w:val="00F674DB"/>
    <w:rsid w:val="00F67590"/>
    <w:rsid w:val="00F6772B"/>
    <w:rsid w:val="00F67A31"/>
    <w:rsid w:val="00F67D86"/>
    <w:rsid w:val="00F67E1F"/>
    <w:rsid w:val="00F67EDB"/>
    <w:rsid w:val="00F702E8"/>
    <w:rsid w:val="00F70654"/>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938"/>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412"/>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6A"/>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92"/>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0B7"/>
    <w:rsid w:val="00FA214F"/>
    <w:rsid w:val="00FA2254"/>
    <w:rsid w:val="00FA2333"/>
    <w:rsid w:val="00FA268D"/>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91"/>
    <w:rsid w:val="00FB2D9E"/>
    <w:rsid w:val="00FB2DA9"/>
    <w:rsid w:val="00FB2F46"/>
    <w:rsid w:val="00FB330B"/>
    <w:rsid w:val="00FB35F4"/>
    <w:rsid w:val="00FB36A0"/>
    <w:rsid w:val="00FB3B9C"/>
    <w:rsid w:val="00FB3D89"/>
    <w:rsid w:val="00FB4243"/>
    <w:rsid w:val="00FB44CA"/>
    <w:rsid w:val="00FB49F6"/>
    <w:rsid w:val="00FB5189"/>
    <w:rsid w:val="00FB5361"/>
    <w:rsid w:val="00FB5367"/>
    <w:rsid w:val="00FB53E3"/>
    <w:rsid w:val="00FB5403"/>
    <w:rsid w:val="00FB55F0"/>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73"/>
    <w:rsid w:val="00FB6EAD"/>
    <w:rsid w:val="00FB6EFB"/>
    <w:rsid w:val="00FB6F49"/>
    <w:rsid w:val="00FB708B"/>
    <w:rsid w:val="00FB7116"/>
    <w:rsid w:val="00FB711A"/>
    <w:rsid w:val="00FB7486"/>
    <w:rsid w:val="00FB752B"/>
    <w:rsid w:val="00FB757D"/>
    <w:rsid w:val="00FB7588"/>
    <w:rsid w:val="00FB767D"/>
    <w:rsid w:val="00FB7816"/>
    <w:rsid w:val="00FB7A2B"/>
    <w:rsid w:val="00FC051D"/>
    <w:rsid w:val="00FC052B"/>
    <w:rsid w:val="00FC05D7"/>
    <w:rsid w:val="00FC0B40"/>
    <w:rsid w:val="00FC0C08"/>
    <w:rsid w:val="00FC0D68"/>
    <w:rsid w:val="00FC0E38"/>
    <w:rsid w:val="00FC12B0"/>
    <w:rsid w:val="00FC12C1"/>
    <w:rsid w:val="00FC16BF"/>
    <w:rsid w:val="00FC1858"/>
    <w:rsid w:val="00FC1900"/>
    <w:rsid w:val="00FC1937"/>
    <w:rsid w:val="00FC1A78"/>
    <w:rsid w:val="00FC1C90"/>
    <w:rsid w:val="00FC1CC8"/>
    <w:rsid w:val="00FC1F5E"/>
    <w:rsid w:val="00FC1F95"/>
    <w:rsid w:val="00FC20E9"/>
    <w:rsid w:val="00FC20FF"/>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FE7"/>
    <w:rsid w:val="00FC5059"/>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44"/>
    <w:rsid w:val="00FD47B7"/>
    <w:rsid w:val="00FD4E0F"/>
    <w:rsid w:val="00FD4FA0"/>
    <w:rsid w:val="00FD4FDD"/>
    <w:rsid w:val="00FD5006"/>
    <w:rsid w:val="00FD51EA"/>
    <w:rsid w:val="00FD5672"/>
    <w:rsid w:val="00FD56D4"/>
    <w:rsid w:val="00FD583A"/>
    <w:rsid w:val="00FD5982"/>
    <w:rsid w:val="00FD59F8"/>
    <w:rsid w:val="00FD5B63"/>
    <w:rsid w:val="00FD5B91"/>
    <w:rsid w:val="00FD5BD3"/>
    <w:rsid w:val="00FD5D9B"/>
    <w:rsid w:val="00FD649F"/>
    <w:rsid w:val="00FD660F"/>
    <w:rsid w:val="00FD699B"/>
    <w:rsid w:val="00FD6A78"/>
    <w:rsid w:val="00FD6C02"/>
    <w:rsid w:val="00FD6C8A"/>
    <w:rsid w:val="00FD7033"/>
    <w:rsid w:val="00FD7218"/>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6A8"/>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6E72"/>
    <w:rsid w:val="00FE714D"/>
    <w:rsid w:val="00FE7156"/>
    <w:rsid w:val="00FE7352"/>
    <w:rsid w:val="00FE7376"/>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B2E"/>
    <w:rsid w:val="00FF1C8A"/>
    <w:rsid w:val="00FF1F67"/>
    <w:rsid w:val="00FF21D2"/>
    <w:rsid w:val="00FF21EB"/>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219"/>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25B27FF"/>
    <w:rsid w:val="0AC90245"/>
    <w:rsid w:val="0B660C1A"/>
    <w:rsid w:val="0D15768E"/>
    <w:rsid w:val="0EF713FD"/>
    <w:rsid w:val="0F3755AF"/>
    <w:rsid w:val="0F790316"/>
    <w:rsid w:val="10E15EF1"/>
    <w:rsid w:val="11EE77B0"/>
    <w:rsid w:val="12F05A78"/>
    <w:rsid w:val="133B4C77"/>
    <w:rsid w:val="1481732A"/>
    <w:rsid w:val="14951E1C"/>
    <w:rsid w:val="14A10B0A"/>
    <w:rsid w:val="15F1113C"/>
    <w:rsid w:val="17F93E0B"/>
    <w:rsid w:val="182A28FC"/>
    <w:rsid w:val="18482FB7"/>
    <w:rsid w:val="1C154F8F"/>
    <w:rsid w:val="1C455CA5"/>
    <w:rsid w:val="1CEC4F2C"/>
    <w:rsid w:val="1D2362E8"/>
    <w:rsid w:val="1D2C69D2"/>
    <w:rsid w:val="239E00B4"/>
    <w:rsid w:val="247C660B"/>
    <w:rsid w:val="251E74A4"/>
    <w:rsid w:val="26AD6FE5"/>
    <w:rsid w:val="27843CE5"/>
    <w:rsid w:val="2BAB5764"/>
    <w:rsid w:val="2C350307"/>
    <w:rsid w:val="2C820DC9"/>
    <w:rsid w:val="2CD4483C"/>
    <w:rsid w:val="2D9617CD"/>
    <w:rsid w:val="2EF16B35"/>
    <w:rsid w:val="30357C36"/>
    <w:rsid w:val="304733A4"/>
    <w:rsid w:val="323B6D84"/>
    <w:rsid w:val="326C327D"/>
    <w:rsid w:val="32A33B29"/>
    <w:rsid w:val="32EB653A"/>
    <w:rsid w:val="33107F03"/>
    <w:rsid w:val="34331F41"/>
    <w:rsid w:val="35B84990"/>
    <w:rsid w:val="37AC0526"/>
    <w:rsid w:val="37B0299B"/>
    <w:rsid w:val="37B51012"/>
    <w:rsid w:val="3B196D9D"/>
    <w:rsid w:val="3BCB6780"/>
    <w:rsid w:val="3E0C7F80"/>
    <w:rsid w:val="3FF5F3AE"/>
    <w:rsid w:val="4115583A"/>
    <w:rsid w:val="42C20EE5"/>
    <w:rsid w:val="42CD0A98"/>
    <w:rsid w:val="431A0C09"/>
    <w:rsid w:val="439310F4"/>
    <w:rsid w:val="44156B72"/>
    <w:rsid w:val="453215A8"/>
    <w:rsid w:val="459A4484"/>
    <w:rsid w:val="47E23CD5"/>
    <w:rsid w:val="480E2158"/>
    <w:rsid w:val="4B65373A"/>
    <w:rsid w:val="4C85636D"/>
    <w:rsid w:val="4D00163A"/>
    <w:rsid w:val="4F0F5BE3"/>
    <w:rsid w:val="4FBE6D85"/>
    <w:rsid w:val="50F6003D"/>
    <w:rsid w:val="52422029"/>
    <w:rsid w:val="52F878DA"/>
    <w:rsid w:val="538F6499"/>
    <w:rsid w:val="53D47E0D"/>
    <w:rsid w:val="545E5078"/>
    <w:rsid w:val="54FC7AE6"/>
    <w:rsid w:val="55040901"/>
    <w:rsid w:val="55473076"/>
    <w:rsid w:val="55612E83"/>
    <w:rsid w:val="55C30226"/>
    <w:rsid w:val="561B2DE3"/>
    <w:rsid w:val="56DF05DE"/>
    <w:rsid w:val="57FC6189"/>
    <w:rsid w:val="59AE7F77"/>
    <w:rsid w:val="5B226133"/>
    <w:rsid w:val="5BE54719"/>
    <w:rsid w:val="5D267CE6"/>
    <w:rsid w:val="5DE81D6E"/>
    <w:rsid w:val="5F073306"/>
    <w:rsid w:val="5F5F73B9"/>
    <w:rsid w:val="60D504C7"/>
    <w:rsid w:val="61497CC2"/>
    <w:rsid w:val="617A4A20"/>
    <w:rsid w:val="63127A10"/>
    <w:rsid w:val="65EC6D69"/>
    <w:rsid w:val="66912F4E"/>
    <w:rsid w:val="68167C4A"/>
    <w:rsid w:val="681C130B"/>
    <w:rsid w:val="6838144E"/>
    <w:rsid w:val="68784853"/>
    <w:rsid w:val="68AA7398"/>
    <w:rsid w:val="6A465032"/>
    <w:rsid w:val="6A6B04DF"/>
    <w:rsid w:val="6E4C76CD"/>
    <w:rsid w:val="70811CE5"/>
    <w:rsid w:val="708E10B8"/>
    <w:rsid w:val="71E0192B"/>
    <w:rsid w:val="72132A9B"/>
    <w:rsid w:val="72EF4DBE"/>
    <w:rsid w:val="738467A2"/>
    <w:rsid w:val="742C597A"/>
    <w:rsid w:val="758C5160"/>
    <w:rsid w:val="7702635B"/>
    <w:rsid w:val="78012518"/>
    <w:rsid w:val="79500B2B"/>
    <w:rsid w:val="7A717CA2"/>
    <w:rsid w:val="7B9A4DB4"/>
    <w:rsid w:val="7C965581"/>
    <w:rsid w:val="7D324486"/>
    <w:rsid w:val="7F016517"/>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9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9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94"/>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95"/>
    <w:qFormat/>
    <w:uiPriority w:val="99"/>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96"/>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97"/>
    <w:qFormat/>
    <w:uiPriority w:val="99"/>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98"/>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99"/>
    <w:qFormat/>
    <w:uiPriority w:val="9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72">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8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5">
    <w:name w:val="Normal Indent"/>
    <w:basedOn w:val="1"/>
    <w:link w:val="92"/>
    <w:qFormat/>
    <w:uiPriority w:val="0"/>
    <w:pPr>
      <w:autoSpaceDE w:val="0"/>
      <w:autoSpaceDN w:val="0"/>
      <w:adjustRightInd w:val="0"/>
      <w:ind w:firstLine="420"/>
      <w:jc w:val="left"/>
    </w:pPr>
    <w:rPr>
      <w:rFonts w:ascii="宋体"/>
      <w:sz w:val="24"/>
    </w:rPr>
  </w:style>
  <w:style w:type="paragraph" w:styleId="13">
    <w:name w:val="List 3"/>
    <w:basedOn w:val="1"/>
    <w:qFormat/>
    <w:uiPriority w:val="0"/>
    <w:pPr>
      <w:spacing w:line="360" w:lineRule="auto"/>
      <w:ind w:left="100" w:leftChars="400" w:hanging="200" w:hangingChars="200"/>
    </w:pPr>
    <w:rPr>
      <w:sz w:val="28"/>
    </w:rPr>
  </w:style>
  <w:style w:type="paragraph" w:styleId="14">
    <w:name w:val="toc 7"/>
    <w:basedOn w:val="1"/>
    <w:next w:val="1"/>
    <w:qFormat/>
    <w:uiPriority w:val="39"/>
    <w:pPr>
      <w:ind w:left="2520" w:leftChars="1200"/>
    </w:pPr>
  </w:style>
  <w:style w:type="paragraph" w:styleId="15">
    <w:name w:val="table of authorities"/>
    <w:basedOn w:val="1"/>
    <w:next w:val="1"/>
    <w:qFormat/>
    <w:uiPriority w:val="0"/>
    <w:pPr>
      <w:ind w:left="420" w:leftChars="200"/>
    </w:pPr>
  </w:style>
  <w:style w:type="paragraph" w:styleId="16">
    <w:name w:val="Note Heading"/>
    <w:basedOn w:val="17"/>
    <w:next w:val="17"/>
    <w:link w:val="100"/>
    <w:qFormat/>
    <w:uiPriority w:val="0"/>
    <w:rPr>
      <w:rFonts w:ascii="..ì." w:hAnsi="Times New Roman" w:eastAsia="..ì." w:cs="Times New Roman"/>
      <w:color w:val="auto"/>
      <w:szCs w:val="20"/>
    </w:rPr>
  </w:style>
  <w:style w:type="paragraph" w:customStyle="1" w:styleId="1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18">
    <w:name w:val="List Bullet 4"/>
    <w:basedOn w:val="1"/>
    <w:unhideWhenUsed/>
    <w:qFormat/>
    <w:uiPriority w:val="99"/>
    <w:pPr>
      <w:numPr>
        <w:ilvl w:val="0"/>
        <w:numId w:val="1"/>
      </w:numPr>
      <w:tabs>
        <w:tab w:val="left" w:pos="360"/>
        <w:tab w:val="clear" w:pos="1620"/>
      </w:tabs>
      <w:ind w:left="0" w:firstLine="0"/>
      <w:contextualSpacing/>
    </w:pPr>
    <w:rPr>
      <w:rFonts w:ascii="等线" w:hAnsi="等线" w:eastAsia="等线"/>
      <w:szCs w:val="22"/>
    </w:rPr>
  </w:style>
  <w:style w:type="paragraph" w:styleId="19">
    <w:name w:val="List Number"/>
    <w:basedOn w:val="1"/>
    <w:qFormat/>
    <w:uiPriority w:val="0"/>
    <w:pPr>
      <w:tabs>
        <w:tab w:val="left" w:pos="360"/>
        <w:tab w:val="left" w:pos="540"/>
      </w:tabs>
      <w:ind w:left="540" w:hanging="540"/>
    </w:pPr>
    <w:rPr>
      <w:szCs w:val="20"/>
    </w:rPr>
  </w:style>
  <w:style w:type="paragraph" w:styleId="20">
    <w:name w:val="caption"/>
    <w:basedOn w:val="1"/>
    <w:next w:val="1"/>
    <w:link w:val="101"/>
    <w:qFormat/>
    <w:uiPriority w:val="0"/>
    <w:pPr>
      <w:spacing w:line="480" w:lineRule="auto"/>
    </w:pPr>
    <w:rPr>
      <w:rFonts w:ascii="华文中宋" w:hAnsi="华文中宋" w:eastAsia="华文中宋"/>
      <w:sz w:val="36"/>
      <w:szCs w:val="20"/>
    </w:rPr>
  </w:style>
  <w:style w:type="paragraph" w:styleId="21">
    <w:name w:val="index 5"/>
    <w:basedOn w:val="1"/>
    <w:next w:val="1"/>
    <w:qFormat/>
    <w:uiPriority w:val="0"/>
    <w:pPr>
      <w:ind w:left="800" w:leftChars="800"/>
    </w:pPr>
  </w:style>
  <w:style w:type="paragraph" w:styleId="22">
    <w:name w:val="List Bullet"/>
    <w:basedOn w:val="1"/>
    <w:qFormat/>
    <w:uiPriority w:val="0"/>
    <w:pPr>
      <w:tabs>
        <w:tab w:val="left" w:pos="360"/>
      </w:tabs>
      <w:ind w:left="360" w:hanging="360" w:hangingChars="200"/>
    </w:pPr>
    <w:rPr>
      <w:szCs w:val="20"/>
    </w:rPr>
  </w:style>
  <w:style w:type="paragraph" w:styleId="23">
    <w:name w:val="Document Map"/>
    <w:basedOn w:val="1"/>
    <w:link w:val="102"/>
    <w:qFormat/>
    <w:uiPriority w:val="99"/>
    <w:pPr>
      <w:shd w:val="clear" w:color="auto" w:fill="000080"/>
    </w:pPr>
  </w:style>
  <w:style w:type="paragraph" w:styleId="24">
    <w:name w:val="toa heading"/>
    <w:basedOn w:val="1"/>
    <w:next w:val="1"/>
    <w:unhideWhenUsed/>
    <w:qFormat/>
    <w:uiPriority w:val="0"/>
    <w:pPr>
      <w:spacing w:before="120"/>
    </w:pPr>
    <w:rPr>
      <w:rFonts w:ascii="Cambria" w:hAnsi="Cambria"/>
      <w:sz w:val="24"/>
    </w:rPr>
  </w:style>
  <w:style w:type="paragraph" w:styleId="25">
    <w:name w:val="annotation text"/>
    <w:basedOn w:val="1"/>
    <w:link w:val="103"/>
    <w:qFormat/>
    <w:uiPriority w:val="99"/>
    <w:pPr>
      <w:jc w:val="left"/>
    </w:pPr>
  </w:style>
  <w:style w:type="paragraph" w:styleId="26">
    <w:name w:val="Salutation"/>
    <w:basedOn w:val="1"/>
    <w:next w:val="1"/>
    <w:link w:val="104"/>
    <w:qFormat/>
    <w:uiPriority w:val="0"/>
    <w:rPr>
      <w:rFonts w:ascii="宋体" w:eastAsia="仿宋_GB2312"/>
      <w:szCs w:val="20"/>
    </w:rPr>
  </w:style>
  <w:style w:type="paragraph" w:styleId="27">
    <w:name w:val="Body Text 3"/>
    <w:basedOn w:val="1"/>
    <w:link w:val="105"/>
    <w:qFormat/>
    <w:uiPriority w:val="99"/>
    <w:pPr>
      <w:spacing w:after="120"/>
    </w:pPr>
    <w:rPr>
      <w:sz w:val="16"/>
      <w:szCs w:val="16"/>
    </w:rPr>
  </w:style>
  <w:style w:type="paragraph" w:styleId="28">
    <w:name w:val="List Bullet 3"/>
    <w:basedOn w:val="1"/>
    <w:qFormat/>
    <w:uiPriority w:val="0"/>
    <w:pPr>
      <w:tabs>
        <w:tab w:val="left" w:pos="1200"/>
      </w:tabs>
      <w:ind w:left="1200" w:leftChars="400" w:hanging="360" w:hangingChars="200"/>
    </w:pPr>
    <w:rPr>
      <w:szCs w:val="20"/>
    </w:rPr>
  </w:style>
  <w:style w:type="paragraph" w:styleId="29">
    <w:name w:val="Body Text"/>
    <w:basedOn w:val="1"/>
    <w:link w:val="106"/>
    <w:qFormat/>
    <w:uiPriority w:val="99"/>
    <w:pPr>
      <w:tabs>
        <w:tab w:val="left" w:pos="567"/>
      </w:tabs>
      <w:spacing w:before="120" w:line="22" w:lineRule="atLeast"/>
    </w:pPr>
    <w:rPr>
      <w:rFonts w:ascii="宋体" w:hAnsi="宋体"/>
      <w:sz w:val="24"/>
    </w:rPr>
  </w:style>
  <w:style w:type="paragraph" w:styleId="30">
    <w:name w:val="Body Text Indent"/>
    <w:basedOn w:val="1"/>
    <w:link w:val="107"/>
    <w:qFormat/>
    <w:uiPriority w:val="99"/>
    <w:pPr>
      <w:spacing w:line="360" w:lineRule="auto"/>
      <w:ind w:firstLine="570"/>
    </w:pPr>
    <w:rPr>
      <w:sz w:val="24"/>
    </w:rPr>
  </w:style>
  <w:style w:type="paragraph" w:styleId="31">
    <w:name w:val="List 2"/>
    <w:basedOn w:val="1"/>
    <w:qFormat/>
    <w:uiPriority w:val="0"/>
    <w:pPr>
      <w:ind w:left="100" w:leftChars="200" w:hanging="200" w:hangingChars="200"/>
    </w:pPr>
  </w:style>
  <w:style w:type="paragraph" w:styleId="32">
    <w:name w:val="Block Text"/>
    <w:basedOn w:val="1"/>
    <w:qFormat/>
    <w:uiPriority w:val="0"/>
    <w:pPr>
      <w:widowControl/>
      <w:ind w:left="480" w:right="-341" w:firstLine="513"/>
    </w:pPr>
    <w:rPr>
      <w:kern w:val="0"/>
      <w:sz w:val="24"/>
      <w:szCs w:val="20"/>
    </w:rPr>
  </w:style>
  <w:style w:type="paragraph" w:styleId="33">
    <w:name w:val="List Bullet 2"/>
    <w:basedOn w:val="1"/>
    <w:qFormat/>
    <w:uiPriority w:val="0"/>
    <w:pPr>
      <w:tabs>
        <w:tab w:val="left" w:pos="780"/>
      </w:tabs>
      <w:ind w:left="780" w:leftChars="200" w:hanging="360" w:hangingChars="200"/>
    </w:pPr>
    <w:rPr>
      <w:szCs w:val="20"/>
    </w:rPr>
  </w:style>
  <w:style w:type="paragraph" w:styleId="34">
    <w:name w:val="toc 5"/>
    <w:basedOn w:val="1"/>
    <w:next w:val="1"/>
    <w:qFormat/>
    <w:uiPriority w:val="39"/>
    <w:pPr>
      <w:ind w:left="1680" w:leftChars="800"/>
    </w:pPr>
  </w:style>
  <w:style w:type="paragraph" w:styleId="35">
    <w:name w:val="toc 3"/>
    <w:basedOn w:val="1"/>
    <w:next w:val="1"/>
    <w:qFormat/>
    <w:uiPriority w:val="39"/>
    <w:pPr>
      <w:ind w:left="840" w:leftChars="400"/>
    </w:pPr>
  </w:style>
  <w:style w:type="paragraph" w:styleId="36">
    <w:name w:val="Plain Text"/>
    <w:basedOn w:val="1"/>
    <w:link w:val="108"/>
    <w:qFormat/>
    <w:uiPriority w:val="0"/>
    <w:rPr>
      <w:rFonts w:hint="eastAsia" w:ascii="宋体" w:hAnsi="Courier New"/>
      <w:szCs w:val="20"/>
    </w:rPr>
  </w:style>
  <w:style w:type="paragraph" w:styleId="37">
    <w:name w:val="toc 8"/>
    <w:basedOn w:val="1"/>
    <w:next w:val="1"/>
    <w:qFormat/>
    <w:uiPriority w:val="39"/>
    <w:pPr>
      <w:ind w:left="2940" w:leftChars="1400"/>
    </w:pPr>
  </w:style>
  <w:style w:type="paragraph" w:styleId="38">
    <w:name w:val="Date"/>
    <w:basedOn w:val="1"/>
    <w:next w:val="1"/>
    <w:link w:val="109"/>
    <w:qFormat/>
    <w:uiPriority w:val="99"/>
    <w:pPr>
      <w:ind w:left="100" w:leftChars="2500"/>
    </w:pPr>
    <w:rPr>
      <w:rFonts w:ascii="仿宋_GB2312" w:hAnsi="宋体" w:eastAsia="仿宋_GB2312"/>
      <w:color w:val="000000"/>
      <w:sz w:val="24"/>
    </w:rPr>
  </w:style>
  <w:style w:type="paragraph" w:styleId="39">
    <w:name w:val="Body Text Indent 2"/>
    <w:basedOn w:val="1"/>
    <w:link w:val="110"/>
    <w:qFormat/>
    <w:uiPriority w:val="99"/>
    <w:pPr>
      <w:ind w:firstLine="480" w:firstLineChars="200"/>
    </w:pPr>
    <w:rPr>
      <w:rFonts w:ascii="仿宋_GB2312" w:eastAsia="仿宋_GB2312"/>
      <w:sz w:val="24"/>
    </w:rPr>
  </w:style>
  <w:style w:type="paragraph" w:styleId="40">
    <w:name w:val="endnote text"/>
    <w:basedOn w:val="1"/>
    <w:link w:val="111"/>
    <w:qFormat/>
    <w:uiPriority w:val="0"/>
    <w:pPr>
      <w:snapToGrid w:val="0"/>
      <w:jc w:val="left"/>
    </w:pPr>
  </w:style>
  <w:style w:type="paragraph" w:styleId="41">
    <w:name w:val="List Continue 5"/>
    <w:basedOn w:val="1"/>
    <w:qFormat/>
    <w:uiPriority w:val="0"/>
    <w:pPr>
      <w:spacing w:after="120" w:line="360" w:lineRule="auto"/>
      <w:ind w:left="2100" w:leftChars="1000"/>
    </w:pPr>
    <w:rPr>
      <w:sz w:val="28"/>
    </w:rPr>
  </w:style>
  <w:style w:type="paragraph" w:styleId="42">
    <w:name w:val="Balloon Text"/>
    <w:basedOn w:val="1"/>
    <w:link w:val="112"/>
    <w:qFormat/>
    <w:uiPriority w:val="0"/>
    <w:rPr>
      <w:sz w:val="18"/>
      <w:szCs w:val="18"/>
    </w:rPr>
  </w:style>
  <w:style w:type="paragraph" w:styleId="43">
    <w:name w:val="footer"/>
    <w:basedOn w:val="1"/>
    <w:link w:val="113"/>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44">
    <w:name w:val="header"/>
    <w:basedOn w:val="1"/>
    <w:link w:val="114"/>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15"/>
    <w:qFormat/>
    <w:uiPriority w:val="0"/>
    <w:pPr>
      <w:adjustRightInd w:val="0"/>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pPr>
      <w:tabs>
        <w:tab w:val="left" w:pos="1050"/>
        <w:tab w:val="right" w:leader="dot" w:pos="8937"/>
      </w:tabs>
      <w:spacing w:line="300" w:lineRule="auto"/>
    </w:pPr>
    <w:rPr>
      <w:rFonts w:ascii="宋体" w:hAnsi="宋体"/>
      <w:b/>
      <w:sz w:val="24"/>
    </w:rPr>
  </w:style>
  <w:style w:type="paragraph" w:styleId="47">
    <w:name w:val="toc 4"/>
    <w:basedOn w:val="1"/>
    <w:next w:val="1"/>
    <w:qFormat/>
    <w:uiPriority w:val="39"/>
    <w:pPr>
      <w:ind w:left="1260" w:leftChars="600"/>
    </w:pPr>
  </w:style>
  <w:style w:type="paragraph" w:styleId="48">
    <w:name w:val="Subtitle"/>
    <w:basedOn w:val="1"/>
    <w:next w:val="1"/>
    <w:link w:val="116"/>
    <w:qFormat/>
    <w:uiPriority w:val="11"/>
    <w:pPr>
      <w:spacing w:before="240" w:after="60" w:line="312" w:lineRule="auto"/>
      <w:jc w:val="center"/>
      <w:outlineLvl w:val="1"/>
    </w:pPr>
    <w:rPr>
      <w:rFonts w:ascii="Cambria" w:hAnsi="Cambria"/>
      <w:b/>
      <w:bCs/>
      <w:kern w:val="28"/>
      <w:sz w:val="32"/>
      <w:szCs w:val="32"/>
    </w:rPr>
  </w:style>
  <w:style w:type="paragraph" w:styleId="49">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50">
    <w:name w:val="footnote text"/>
    <w:basedOn w:val="1"/>
    <w:link w:val="117"/>
    <w:qFormat/>
    <w:uiPriority w:val="0"/>
    <w:pPr>
      <w:snapToGrid w:val="0"/>
      <w:jc w:val="left"/>
    </w:pPr>
    <w:rPr>
      <w:sz w:val="18"/>
      <w:szCs w:val="20"/>
    </w:rPr>
  </w:style>
  <w:style w:type="paragraph" w:styleId="51">
    <w:name w:val="toc 6"/>
    <w:basedOn w:val="1"/>
    <w:next w:val="1"/>
    <w:qFormat/>
    <w:uiPriority w:val="39"/>
    <w:pPr>
      <w:ind w:left="2100" w:leftChars="1000"/>
    </w:pPr>
  </w:style>
  <w:style w:type="paragraph" w:styleId="52">
    <w:name w:val="List 5"/>
    <w:basedOn w:val="1"/>
    <w:qFormat/>
    <w:uiPriority w:val="0"/>
    <w:pPr>
      <w:spacing w:line="360" w:lineRule="auto"/>
      <w:ind w:left="100" w:leftChars="800" w:hanging="200" w:hangingChars="200"/>
    </w:pPr>
    <w:rPr>
      <w:sz w:val="28"/>
    </w:rPr>
  </w:style>
  <w:style w:type="paragraph" w:styleId="53">
    <w:name w:val="table of figures"/>
    <w:basedOn w:val="1"/>
    <w:next w:val="1"/>
    <w:qFormat/>
    <w:uiPriority w:val="0"/>
    <w:pPr>
      <w:ind w:left="200" w:leftChars="200" w:hanging="200" w:hangingChars="200"/>
    </w:pPr>
  </w:style>
  <w:style w:type="paragraph" w:styleId="54">
    <w:name w:val="toc 2"/>
    <w:basedOn w:val="1"/>
    <w:next w:val="1"/>
    <w:qFormat/>
    <w:uiPriority w:val="39"/>
    <w:pPr>
      <w:tabs>
        <w:tab w:val="right" w:leader="dot" w:pos="8937"/>
      </w:tabs>
      <w:spacing w:line="312" w:lineRule="auto"/>
      <w:ind w:left="420" w:leftChars="200"/>
    </w:pPr>
  </w:style>
  <w:style w:type="paragraph" w:styleId="55">
    <w:name w:val="toc 9"/>
    <w:basedOn w:val="1"/>
    <w:next w:val="1"/>
    <w:qFormat/>
    <w:uiPriority w:val="39"/>
    <w:pPr>
      <w:ind w:left="3360" w:leftChars="1600"/>
    </w:pPr>
  </w:style>
  <w:style w:type="paragraph" w:styleId="56">
    <w:name w:val="Body Text 2"/>
    <w:basedOn w:val="1"/>
    <w:link w:val="118"/>
    <w:qFormat/>
    <w:uiPriority w:val="99"/>
    <w:pPr>
      <w:jc w:val="center"/>
    </w:pPr>
    <w:rPr>
      <w:rFonts w:eastAsia="黑体"/>
      <w:bCs/>
      <w:sz w:val="72"/>
    </w:rPr>
  </w:style>
  <w:style w:type="paragraph" w:styleId="57">
    <w:name w:val="List 4"/>
    <w:basedOn w:val="1"/>
    <w:qFormat/>
    <w:uiPriority w:val="0"/>
    <w:pPr>
      <w:spacing w:line="360" w:lineRule="auto"/>
      <w:ind w:left="100" w:leftChars="600" w:hanging="200" w:hangingChars="200"/>
    </w:pPr>
    <w:rPr>
      <w:sz w:val="28"/>
    </w:rPr>
  </w:style>
  <w:style w:type="paragraph" w:styleId="58">
    <w:name w:val="List Continue 2"/>
    <w:basedOn w:val="1"/>
    <w:qFormat/>
    <w:uiPriority w:val="0"/>
    <w:pPr>
      <w:spacing w:after="120" w:line="360" w:lineRule="auto"/>
      <w:ind w:left="840" w:leftChars="400"/>
    </w:pPr>
    <w:rPr>
      <w:sz w:val="28"/>
    </w:rPr>
  </w:style>
  <w:style w:type="paragraph" w:styleId="59">
    <w:name w:val="Message Header"/>
    <w:basedOn w:val="1"/>
    <w:link w:val="11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60">
    <w:name w:val="HTML Preformatted"/>
    <w:basedOn w:val="1"/>
    <w:link w:val="1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2">
    <w:name w:val="index 1"/>
    <w:basedOn w:val="1"/>
    <w:next w:val="1"/>
    <w:qFormat/>
    <w:uiPriority w:val="0"/>
    <w:rPr>
      <w:szCs w:val="20"/>
    </w:rPr>
  </w:style>
  <w:style w:type="paragraph" w:styleId="63">
    <w:name w:val="Title"/>
    <w:basedOn w:val="1"/>
    <w:link w:val="121"/>
    <w:qFormat/>
    <w:uiPriority w:val="99"/>
    <w:pPr>
      <w:jc w:val="center"/>
      <w:outlineLvl w:val="0"/>
    </w:pPr>
    <w:rPr>
      <w:b/>
      <w:sz w:val="32"/>
      <w:szCs w:val="20"/>
    </w:rPr>
  </w:style>
  <w:style w:type="paragraph" w:styleId="64">
    <w:name w:val="annotation subject"/>
    <w:basedOn w:val="25"/>
    <w:next w:val="25"/>
    <w:link w:val="122"/>
    <w:qFormat/>
    <w:uiPriority w:val="99"/>
    <w:rPr>
      <w:b/>
      <w:bCs/>
    </w:rPr>
  </w:style>
  <w:style w:type="paragraph" w:styleId="65">
    <w:name w:val="Body Text First Indent"/>
    <w:basedOn w:val="29"/>
    <w:link w:val="123"/>
    <w:qFormat/>
    <w:uiPriority w:val="99"/>
    <w:pPr>
      <w:widowControl/>
      <w:tabs>
        <w:tab w:val="clear" w:pos="567"/>
      </w:tabs>
      <w:spacing w:before="0" w:after="120" w:line="240" w:lineRule="auto"/>
      <w:ind w:firstLine="420" w:firstLineChars="100"/>
      <w:jc w:val="left"/>
    </w:pPr>
    <w:rPr>
      <w:lang w:val="ru-RU"/>
    </w:rPr>
  </w:style>
  <w:style w:type="paragraph" w:styleId="66">
    <w:name w:val="Body Text First Indent 2"/>
    <w:basedOn w:val="30"/>
    <w:link w:val="124"/>
    <w:qFormat/>
    <w:uiPriority w:val="0"/>
    <w:pPr>
      <w:spacing w:after="120" w:line="480" w:lineRule="exact"/>
      <w:ind w:left="420" w:leftChars="200" w:firstLine="420" w:firstLineChars="200"/>
    </w:pPr>
  </w:style>
  <w:style w:type="table" w:styleId="68">
    <w:name w:val="Table Grid"/>
    <w:basedOn w:val="6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
    <w:name w:val="Table Theme"/>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Medium Grid 1 Accent 2"/>
    <w:basedOn w:val="67"/>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71">
    <w:name w:val="Colorful List Accent 1"/>
    <w:basedOn w:val="67"/>
    <w:qFormat/>
    <w:uiPriority w:val="72"/>
    <w:rPr>
      <w:rFonts w:ascii="等线" w:hAnsi="等线" w:eastAsia="等线"/>
      <w:kern w:val="2"/>
      <w:sz w:val="21"/>
      <w:szCs w:val="22"/>
    </w:rPr>
    <w:tblPr>
      <w:tblStyleRowBandSize w:val="1"/>
      <w:tblStyleColBandSize w:val="1"/>
    </w:tblPr>
    <w:tcPr>
      <w:shd w:val="clear" w:color="auto" w:fill="EDF2F8"/>
    </w:tcPr>
    <w:tblStylePr w:type="firstRow">
      <w:rPr>
        <w:b/>
        <w:bCs/>
        <w:color w:val="FFFFFF"/>
      </w:rPr>
      <w:tblPr/>
      <w:tcPr>
        <w:tcBorders>
          <w:top w:val="nil"/>
          <w:left w:val="single" w:color="CCE8CF" w:sz="12" w:space="0"/>
          <w:bottom w:val="nil"/>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qFormat/>
    <w:uiPriority w:val="0"/>
  </w:style>
  <w:style w:type="character" w:styleId="76">
    <w:name w:val="FollowedHyperlink"/>
    <w:basedOn w:val="72"/>
    <w:qFormat/>
    <w:uiPriority w:val="99"/>
    <w:rPr>
      <w:color w:val="800080"/>
      <w:u w:val="none"/>
    </w:rPr>
  </w:style>
  <w:style w:type="character" w:styleId="77">
    <w:name w:val="Emphasis"/>
    <w:qFormat/>
    <w:uiPriority w:val="20"/>
    <w:rPr>
      <w:color w:val="CC0033"/>
    </w:rPr>
  </w:style>
  <w:style w:type="character" w:styleId="78">
    <w:name w:val="HTML Definition"/>
    <w:qFormat/>
    <w:uiPriority w:val="0"/>
  </w:style>
  <w:style w:type="character" w:styleId="79">
    <w:name w:val="HTML Typewriter"/>
    <w:qFormat/>
    <w:uiPriority w:val="0"/>
    <w:rPr>
      <w:rFonts w:ascii="宋体" w:hAnsi="宋体" w:eastAsia="宋体" w:cs="Times New Roman"/>
      <w:sz w:val="18"/>
    </w:rPr>
  </w:style>
  <w:style w:type="character" w:styleId="80">
    <w:name w:val="HTML Acronym"/>
    <w:basedOn w:val="72"/>
    <w:qFormat/>
    <w:uiPriority w:val="0"/>
  </w:style>
  <w:style w:type="character" w:styleId="81">
    <w:name w:val="HTML Variable"/>
    <w:qFormat/>
    <w:uiPriority w:val="0"/>
  </w:style>
  <w:style w:type="character" w:styleId="82">
    <w:name w:val="Hyperlink"/>
    <w:basedOn w:val="72"/>
    <w:qFormat/>
    <w:uiPriority w:val="99"/>
    <w:rPr>
      <w:color w:val="0000FF"/>
      <w:u w:val="none"/>
    </w:rPr>
  </w:style>
  <w:style w:type="character" w:styleId="83">
    <w:name w:val="HTML Code"/>
    <w:qFormat/>
    <w:uiPriority w:val="0"/>
    <w:rPr>
      <w:rFonts w:hint="default" w:ascii="Courier New" w:hAnsi="Courier New" w:eastAsia="Courier New" w:cs="Courier New"/>
      <w:sz w:val="20"/>
    </w:rPr>
  </w:style>
  <w:style w:type="character" w:styleId="84">
    <w:name w:val="annotation reference"/>
    <w:qFormat/>
    <w:uiPriority w:val="99"/>
    <w:rPr>
      <w:sz w:val="21"/>
      <w:szCs w:val="21"/>
    </w:rPr>
  </w:style>
  <w:style w:type="character" w:styleId="85">
    <w:name w:val="HTML Cite"/>
    <w:qFormat/>
    <w:uiPriority w:val="0"/>
    <w:rPr>
      <w:i/>
      <w:iCs/>
    </w:rPr>
  </w:style>
  <w:style w:type="character" w:styleId="86">
    <w:name w:val="footnote reference"/>
    <w:qFormat/>
    <w:uiPriority w:val="0"/>
    <w:rPr>
      <w:vertAlign w:val="superscript"/>
    </w:rPr>
  </w:style>
  <w:style w:type="character" w:styleId="87">
    <w:name w:val="HTML Keyboard"/>
    <w:qFormat/>
    <w:uiPriority w:val="0"/>
    <w:rPr>
      <w:rFonts w:ascii="Courier New" w:hAnsi="Courier New" w:eastAsia="Courier New" w:cs="Courier New"/>
      <w:sz w:val="20"/>
    </w:rPr>
  </w:style>
  <w:style w:type="character" w:styleId="88">
    <w:name w:val="HTML Sample"/>
    <w:qFormat/>
    <w:uiPriority w:val="0"/>
    <w:rPr>
      <w:rFonts w:hint="default" w:ascii="Courier New" w:hAnsi="Courier New" w:eastAsia="Courier New" w:cs="Courier New"/>
    </w:rPr>
  </w:style>
  <w:style w:type="character" w:customStyle="1" w:styleId="89">
    <w:name w:val="正文文本缩进 3 字符"/>
    <w:link w:val="2"/>
    <w:qFormat/>
    <w:uiPriority w:val="99"/>
    <w:rPr>
      <w:rFonts w:ascii="宋体"/>
      <w:sz w:val="24"/>
    </w:rPr>
  </w:style>
  <w:style w:type="character" w:customStyle="1" w:styleId="90">
    <w:name w:val="标题 1 字符"/>
    <w:link w:val="3"/>
    <w:qFormat/>
    <w:uiPriority w:val="99"/>
    <w:rPr>
      <w:rFonts w:ascii="宋体"/>
      <w:b/>
      <w:kern w:val="44"/>
      <w:sz w:val="32"/>
    </w:rPr>
  </w:style>
  <w:style w:type="character" w:customStyle="1" w:styleId="91">
    <w:name w:val="标题 2 字符"/>
    <w:link w:val="4"/>
    <w:qFormat/>
    <w:uiPriority w:val="99"/>
    <w:rPr>
      <w:rFonts w:ascii="Arial" w:hAnsi="Arial" w:eastAsia="黑体"/>
      <w:b/>
      <w:sz w:val="30"/>
      <w:lang w:val="en-US" w:eastAsia="zh-CN" w:bidi="ar-SA"/>
    </w:rPr>
  </w:style>
  <w:style w:type="character" w:customStyle="1" w:styleId="92">
    <w:name w:val="正文缩进 字符"/>
    <w:link w:val="5"/>
    <w:qFormat/>
    <w:uiPriority w:val="0"/>
    <w:rPr>
      <w:rFonts w:ascii="宋体" w:eastAsia="宋体"/>
      <w:kern w:val="2"/>
      <w:sz w:val="24"/>
      <w:szCs w:val="24"/>
      <w:lang w:val="en-US" w:eastAsia="zh-CN" w:bidi="ar-SA"/>
    </w:rPr>
  </w:style>
  <w:style w:type="character" w:customStyle="1" w:styleId="93">
    <w:name w:val="标题 3 字符"/>
    <w:link w:val="6"/>
    <w:qFormat/>
    <w:uiPriority w:val="99"/>
    <w:rPr>
      <w:rFonts w:ascii="宋体" w:eastAsia="宋体"/>
      <w:b/>
      <w:sz w:val="24"/>
      <w:u w:val="single"/>
      <w:lang w:val="en-US" w:eastAsia="zh-CN" w:bidi="ar-SA"/>
    </w:rPr>
  </w:style>
  <w:style w:type="character" w:customStyle="1" w:styleId="94">
    <w:name w:val="标题 4 字符"/>
    <w:link w:val="7"/>
    <w:qFormat/>
    <w:uiPriority w:val="99"/>
    <w:rPr>
      <w:rFonts w:ascii="Arial" w:hAnsi="Arial" w:eastAsia="黑体"/>
      <w:b/>
      <w:sz w:val="28"/>
    </w:rPr>
  </w:style>
  <w:style w:type="character" w:customStyle="1" w:styleId="95">
    <w:name w:val="标题 5 字符"/>
    <w:link w:val="8"/>
    <w:qFormat/>
    <w:uiPriority w:val="99"/>
    <w:rPr>
      <w:b/>
      <w:sz w:val="28"/>
    </w:rPr>
  </w:style>
  <w:style w:type="character" w:customStyle="1" w:styleId="96">
    <w:name w:val="标题 6 字符"/>
    <w:link w:val="9"/>
    <w:qFormat/>
    <w:uiPriority w:val="99"/>
    <w:rPr>
      <w:rFonts w:ascii="Arial" w:hAnsi="Arial" w:eastAsia="黑体"/>
      <w:b/>
      <w:sz w:val="24"/>
    </w:rPr>
  </w:style>
  <w:style w:type="character" w:customStyle="1" w:styleId="97">
    <w:name w:val="标题 7 字符"/>
    <w:link w:val="10"/>
    <w:qFormat/>
    <w:uiPriority w:val="99"/>
    <w:rPr>
      <w:b/>
      <w:sz w:val="24"/>
    </w:rPr>
  </w:style>
  <w:style w:type="character" w:customStyle="1" w:styleId="98">
    <w:name w:val="标题 8 字符"/>
    <w:link w:val="11"/>
    <w:qFormat/>
    <w:uiPriority w:val="99"/>
    <w:rPr>
      <w:rFonts w:ascii="Arial" w:hAnsi="Arial" w:eastAsia="黑体"/>
      <w:sz w:val="24"/>
    </w:rPr>
  </w:style>
  <w:style w:type="character" w:customStyle="1" w:styleId="99">
    <w:name w:val="标题 9 字符"/>
    <w:link w:val="12"/>
    <w:qFormat/>
    <w:uiPriority w:val="99"/>
    <w:rPr>
      <w:rFonts w:ascii="Arial" w:hAnsi="Arial" w:eastAsia="黑体"/>
      <w:sz w:val="21"/>
    </w:rPr>
  </w:style>
  <w:style w:type="character" w:customStyle="1" w:styleId="100">
    <w:name w:val="注释标题 字符"/>
    <w:link w:val="16"/>
    <w:qFormat/>
    <w:uiPriority w:val="0"/>
    <w:rPr>
      <w:rFonts w:ascii="..ì." w:eastAsia="..ì."/>
      <w:sz w:val="24"/>
    </w:rPr>
  </w:style>
  <w:style w:type="character" w:customStyle="1" w:styleId="101">
    <w:name w:val="题注 字符"/>
    <w:link w:val="20"/>
    <w:qFormat/>
    <w:uiPriority w:val="0"/>
    <w:rPr>
      <w:rFonts w:ascii="华文中宋" w:hAnsi="华文中宋" w:eastAsia="华文中宋"/>
      <w:kern w:val="2"/>
      <w:sz w:val="36"/>
    </w:rPr>
  </w:style>
  <w:style w:type="character" w:customStyle="1" w:styleId="102">
    <w:name w:val="文档结构图 字符"/>
    <w:link w:val="23"/>
    <w:qFormat/>
    <w:uiPriority w:val="99"/>
    <w:rPr>
      <w:kern w:val="2"/>
      <w:sz w:val="21"/>
      <w:szCs w:val="24"/>
      <w:shd w:val="clear" w:color="auto" w:fill="000080"/>
    </w:rPr>
  </w:style>
  <w:style w:type="character" w:customStyle="1" w:styleId="103">
    <w:name w:val="批注文字 字符1"/>
    <w:link w:val="25"/>
    <w:qFormat/>
    <w:uiPriority w:val="99"/>
    <w:rPr>
      <w:kern w:val="2"/>
      <w:sz w:val="21"/>
      <w:szCs w:val="24"/>
    </w:rPr>
  </w:style>
  <w:style w:type="character" w:customStyle="1" w:styleId="104">
    <w:name w:val="称呼 字符"/>
    <w:link w:val="26"/>
    <w:qFormat/>
    <w:uiPriority w:val="0"/>
    <w:rPr>
      <w:rFonts w:ascii="宋体" w:eastAsia="仿宋_GB2312"/>
      <w:kern w:val="2"/>
      <w:sz w:val="21"/>
    </w:rPr>
  </w:style>
  <w:style w:type="character" w:customStyle="1" w:styleId="105">
    <w:name w:val="正文文本 3 字符"/>
    <w:link w:val="27"/>
    <w:qFormat/>
    <w:uiPriority w:val="99"/>
    <w:rPr>
      <w:kern w:val="2"/>
      <w:sz w:val="16"/>
      <w:szCs w:val="16"/>
    </w:rPr>
  </w:style>
  <w:style w:type="character" w:customStyle="1" w:styleId="106">
    <w:name w:val="正文文本 字符"/>
    <w:link w:val="29"/>
    <w:qFormat/>
    <w:uiPriority w:val="99"/>
    <w:rPr>
      <w:rFonts w:ascii="宋体" w:hAnsi="宋体"/>
      <w:kern w:val="2"/>
      <w:sz w:val="24"/>
      <w:szCs w:val="24"/>
    </w:rPr>
  </w:style>
  <w:style w:type="character" w:customStyle="1" w:styleId="107">
    <w:name w:val="正文文本缩进 字符"/>
    <w:link w:val="30"/>
    <w:qFormat/>
    <w:uiPriority w:val="99"/>
    <w:rPr>
      <w:rFonts w:eastAsia="宋体"/>
      <w:kern w:val="2"/>
      <w:sz w:val="24"/>
      <w:szCs w:val="24"/>
      <w:lang w:val="en-US" w:eastAsia="zh-CN" w:bidi="ar-SA"/>
    </w:rPr>
  </w:style>
  <w:style w:type="character" w:customStyle="1" w:styleId="108">
    <w:name w:val="纯文本 字符2"/>
    <w:link w:val="36"/>
    <w:qFormat/>
    <w:uiPriority w:val="0"/>
    <w:rPr>
      <w:rFonts w:hint="eastAsia" w:ascii="宋体" w:hAnsi="Courier New" w:eastAsia="宋体" w:cs="宋体"/>
      <w:kern w:val="2"/>
      <w:sz w:val="21"/>
    </w:rPr>
  </w:style>
  <w:style w:type="character" w:customStyle="1" w:styleId="109">
    <w:name w:val="日期 字符"/>
    <w:link w:val="38"/>
    <w:qFormat/>
    <w:uiPriority w:val="99"/>
    <w:rPr>
      <w:rFonts w:ascii="仿宋_GB2312" w:hAnsi="宋体" w:eastAsia="仿宋_GB2312"/>
      <w:color w:val="000000"/>
      <w:kern w:val="2"/>
      <w:sz w:val="24"/>
      <w:szCs w:val="24"/>
    </w:rPr>
  </w:style>
  <w:style w:type="character" w:customStyle="1" w:styleId="110">
    <w:name w:val="正文文本缩进 2 字符"/>
    <w:link w:val="39"/>
    <w:qFormat/>
    <w:uiPriority w:val="99"/>
    <w:rPr>
      <w:rFonts w:ascii="仿宋_GB2312" w:eastAsia="仿宋_GB2312"/>
      <w:kern w:val="2"/>
      <w:sz w:val="24"/>
      <w:szCs w:val="24"/>
    </w:rPr>
  </w:style>
  <w:style w:type="character" w:customStyle="1" w:styleId="111">
    <w:name w:val="尾注文本 字符"/>
    <w:link w:val="40"/>
    <w:qFormat/>
    <w:uiPriority w:val="0"/>
    <w:rPr>
      <w:kern w:val="2"/>
      <w:sz w:val="21"/>
      <w:szCs w:val="24"/>
    </w:rPr>
  </w:style>
  <w:style w:type="character" w:customStyle="1" w:styleId="112">
    <w:name w:val="批注框文本 字符"/>
    <w:link w:val="42"/>
    <w:qFormat/>
    <w:uiPriority w:val="0"/>
    <w:rPr>
      <w:kern w:val="2"/>
      <w:sz w:val="18"/>
      <w:szCs w:val="18"/>
    </w:rPr>
  </w:style>
  <w:style w:type="character" w:customStyle="1" w:styleId="113">
    <w:name w:val="页脚 字符"/>
    <w:link w:val="43"/>
    <w:qFormat/>
    <w:uiPriority w:val="99"/>
    <w:rPr>
      <w:rFonts w:ascii="宋体" w:eastAsia="宋体"/>
      <w:sz w:val="18"/>
      <w:lang w:val="en-US" w:eastAsia="zh-CN" w:bidi="ar-SA"/>
    </w:rPr>
  </w:style>
  <w:style w:type="character" w:customStyle="1" w:styleId="114">
    <w:name w:val="页眉 字符"/>
    <w:link w:val="44"/>
    <w:qFormat/>
    <w:uiPriority w:val="99"/>
    <w:rPr>
      <w:rFonts w:eastAsia="宋体"/>
      <w:kern w:val="2"/>
      <w:sz w:val="18"/>
      <w:szCs w:val="18"/>
      <w:lang w:val="en-US" w:eastAsia="zh-CN" w:bidi="ar-SA"/>
    </w:rPr>
  </w:style>
  <w:style w:type="character" w:customStyle="1" w:styleId="115">
    <w:name w:val="签名 字符1"/>
    <w:link w:val="45"/>
    <w:qFormat/>
    <w:uiPriority w:val="0"/>
    <w:rPr>
      <w:rFonts w:eastAsia="仿宋_GB2312"/>
      <w:sz w:val="24"/>
    </w:rPr>
  </w:style>
  <w:style w:type="character" w:customStyle="1" w:styleId="116">
    <w:name w:val="副标题 字符1"/>
    <w:link w:val="48"/>
    <w:qFormat/>
    <w:uiPriority w:val="11"/>
    <w:rPr>
      <w:rFonts w:ascii="Cambria" w:hAnsi="Cambria"/>
      <w:b/>
      <w:bCs/>
      <w:kern w:val="28"/>
      <w:sz w:val="32"/>
      <w:szCs w:val="32"/>
    </w:rPr>
  </w:style>
  <w:style w:type="character" w:customStyle="1" w:styleId="117">
    <w:name w:val="脚注文本 字符"/>
    <w:link w:val="50"/>
    <w:qFormat/>
    <w:uiPriority w:val="0"/>
    <w:rPr>
      <w:kern w:val="2"/>
      <w:sz w:val="18"/>
    </w:rPr>
  </w:style>
  <w:style w:type="character" w:customStyle="1" w:styleId="118">
    <w:name w:val="正文文本 2 字符"/>
    <w:link w:val="56"/>
    <w:qFormat/>
    <w:uiPriority w:val="99"/>
    <w:rPr>
      <w:rFonts w:eastAsia="黑体"/>
      <w:bCs/>
      <w:kern w:val="2"/>
      <w:sz w:val="72"/>
      <w:szCs w:val="24"/>
    </w:rPr>
  </w:style>
  <w:style w:type="character" w:customStyle="1" w:styleId="119">
    <w:name w:val="信息标题 字符1"/>
    <w:link w:val="59"/>
    <w:qFormat/>
    <w:uiPriority w:val="0"/>
    <w:rPr>
      <w:rFonts w:ascii="Cambria" w:hAnsi="Cambria"/>
      <w:sz w:val="24"/>
      <w:szCs w:val="24"/>
      <w:shd w:val="pct20" w:color="auto" w:fill="auto"/>
    </w:rPr>
  </w:style>
  <w:style w:type="character" w:customStyle="1" w:styleId="120">
    <w:name w:val="HTML 预设格式 字符"/>
    <w:link w:val="60"/>
    <w:qFormat/>
    <w:uiPriority w:val="0"/>
    <w:rPr>
      <w:rFonts w:ascii="宋体" w:hAnsi="宋体" w:cs="宋体"/>
      <w:sz w:val="24"/>
      <w:szCs w:val="24"/>
    </w:rPr>
  </w:style>
  <w:style w:type="character" w:customStyle="1" w:styleId="121">
    <w:name w:val="标题 字符"/>
    <w:link w:val="63"/>
    <w:qFormat/>
    <w:uiPriority w:val="99"/>
    <w:rPr>
      <w:b/>
      <w:kern w:val="2"/>
      <w:sz w:val="32"/>
    </w:rPr>
  </w:style>
  <w:style w:type="character" w:customStyle="1" w:styleId="122">
    <w:name w:val="批注主题 字符"/>
    <w:link w:val="64"/>
    <w:qFormat/>
    <w:uiPriority w:val="99"/>
    <w:rPr>
      <w:rFonts w:ascii="Times New Roman" w:hAnsi="Times New Roman" w:eastAsia="宋体" w:cs="Times New Roman"/>
      <w:b/>
      <w:bCs/>
      <w:kern w:val="2"/>
      <w:sz w:val="21"/>
      <w:szCs w:val="24"/>
      <w:lang w:val="en-US" w:eastAsia="zh-CN" w:bidi="ar-SA"/>
    </w:rPr>
  </w:style>
  <w:style w:type="character" w:customStyle="1" w:styleId="123">
    <w:name w:val="正文首行缩进 字符"/>
    <w:link w:val="65"/>
    <w:qFormat/>
    <w:uiPriority w:val="99"/>
    <w:rPr>
      <w:rFonts w:ascii="宋体" w:hAnsi="宋体"/>
      <w:kern w:val="2"/>
      <w:sz w:val="24"/>
      <w:szCs w:val="24"/>
      <w:lang w:val="ru-RU"/>
    </w:rPr>
  </w:style>
  <w:style w:type="character" w:customStyle="1" w:styleId="124">
    <w:name w:val="正文首行缩进 2 字符"/>
    <w:link w:val="66"/>
    <w:qFormat/>
    <w:uiPriority w:val="0"/>
    <w:rPr>
      <w:rFonts w:eastAsia="宋体"/>
      <w:kern w:val="2"/>
      <w:sz w:val="24"/>
      <w:szCs w:val="24"/>
      <w:lang w:val="en-US" w:eastAsia="zh-CN" w:bidi="ar-SA"/>
    </w:rPr>
  </w:style>
  <w:style w:type="character" w:customStyle="1" w:styleId="125">
    <w:name w:val="正文文本缩进 2 字符1"/>
    <w:qFormat/>
    <w:locked/>
    <w:uiPriority w:val="99"/>
    <w:rPr>
      <w:rFonts w:ascii="Times New Roman" w:hAnsi="Times New Roman" w:eastAsia="宋体" w:cs="Times New Roman"/>
      <w:kern w:val="0"/>
      <w:sz w:val="20"/>
      <w:szCs w:val="24"/>
    </w:rPr>
  </w:style>
  <w:style w:type="character" w:customStyle="1" w:styleId="126">
    <w:name w:val="font161"/>
    <w:qFormat/>
    <w:uiPriority w:val="0"/>
    <w:rPr>
      <w:b/>
      <w:bCs/>
      <w:sz w:val="32"/>
      <w:szCs w:val="32"/>
    </w:rPr>
  </w:style>
  <w:style w:type="character" w:customStyle="1" w:styleId="127">
    <w:name w:val="批注框文本 字符1"/>
    <w:qFormat/>
    <w:locked/>
    <w:uiPriority w:val="0"/>
    <w:rPr>
      <w:rFonts w:ascii="Times New Roman" w:hAnsi="Times New Roman" w:eastAsia="宋体" w:cs="Times New Roman"/>
      <w:sz w:val="18"/>
      <w:szCs w:val="18"/>
    </w:rPr>
  </w:style>
  <w:style w:type="character" w:customStyle="1" w:styleId="128">
    <w:name w:val="未处理的提及2"/>
    <w:unhideWhenUsed/>
    <w:qFormat/>
    <w:uiPriority w:val="99"/>
    <w:rPr>
      <w:color w:val="605E5C"/>
      <w:shd w:val="clear" w:color="auto" w:fill="E1DFDD"/>
    </w:rPr>
  </w:style>
  <w:style w:type="character" w:customStyle="1" w:styleId="129">
    <w:name w:val="文档结构图 字符2"/>
    <w:semiHidden/>
    <w:qFormat/>
    <w:locked/>
    <w:uiPriority w:val="99"/>
    <w:rPr>
      <w:rFonts w:ascii="宋体" w:hAnsi="Times New Roman" w:eastAsia="宋体" w:cs="Times New Roman"/>
      <w:sz w:val="18"/>
    </w:rPr>
  </w:style>
  <w:style w:type="character" w:customStyle="1" w:styleId="130">
    <w:name w:val="批注文字 Char1"/>
    <w:qFormat/>
    <w:locked/>
    <w:uiPriority w:val="99"/>
    <w:rPr>
      <w:rFonts w:ascii="Times New Roman" w:hAnsi="Times New Roman" w:eastAsia="宋体" w:cs="Times New Roman"/>
      <w:kern w:val="0"/>
      <w:sz w:val="24"/>
      <w:szCs w:val="24"/>
    </w:rPr>
  </w:style>
  <w:style w:type="character" w:customStyle="1" w:styleId="131">
    <w:name w:val="页眉 字符2"/>
    <w:qFormat/>
    <w:locked/>
    <w:uiPriority w:val="99"/>
    <w:rPr>
      <w:rFonts w:cs="Times New Roman"/>
      <w:sz w:val="18"/>
      <w:szCs w:val="18"/>
    </w:rPr>
  </w:style>
  <w:style w:type="character" w:customStyle="1" w:styleId="132">
    <w:name w:val="标题 2 字符2"/>
    <w:qFormat/>
    <w:locked/>
    <w:uiPriority w:val="99"/>
    <w:rPr>
      <w:rFonts w:ascii="Cambria" w:hAnsi="Cambria" w:eastAsia="宋体" w:cs="Times New Roman"/>
      <w:b/>
      <w:bCs/>
      <w:kern w:val="0"/>
      <w:sz w:val="32"/>
      <w:szCs w:val="32"/>
    </w:rPr>
  </w:style>
  <w:style w:type="character" w:customStyle="1" w:styleId="133">
    <w:name w:val="black1"/>
    <w:qFormat/>
    <w:uiPriority w:val="0"/>
    <w:rPr>
      <w:color w:val="000000"/>
    </w:rPr>
  </w:style>
  <w:style w:type="character" w:customStyle="1" w:styleId="134">
    <w:name w:val="标题 6 字符1"/>
    <w:qFormat/>
    <w:locked/>
    <w:uiPriority w:val="99"/>
    <w:rPr>
      <w:rFonts w:ascii="Arial" w:hAnsi="Arial" w:eastAsia="黑体" w:cs="Times New Roman"/>
      <w:b/>
      <w:kern w:val="0"/>
      <w:sz w:val="24"/>
      <w:szCs w:val="20"/>
    </w:rPr>
  </w:style>
  <w:style w:type="character" w:customStyle="1" w:styleId="135">
    <w:name w:val="样式 标题 2 + Times New Roman 四号 非加粗 段前: 5 磅 段后: 0 磅 行距: 固定值 20... Char"/>
    <w:link w:val="136"/>
    <w:qFormat/>
    <w:uiPriority w:val="99"/>
    <w:rPr>
      <w:rFonts w:eastAsia="黑体" w:cs="宋体"/>
      <w:kern w:val="2"/>
      <w:sz w:val="28"/>
    </w:rPr>
  </w:style>
  <w:style w:type="paragraph" w:customStyle="1" w:styleId="136">
    <w:name w:val="样式 标题 2 + Times New Roman 四号 非加粗 段前: 5 磅 段后: 0 磅 行距: 固定值 20..."/>
    <w:basedOn w:val="4"/>
    <w:link w:val="135"/>
    <w:qFormat/>
    <w:uiPriority w:val="99"/>
    <w:pPr>
      <w:autoSpaceDE/>
      <w:autoSpaceDN/>
      <w:adjustRightInd/>
      <w:spacing w:before="100" w:line="400" w:lineRule="exact"/>
      <w:jc w:val="both"/>
    </w:pPr>
    <w:rPr>
      <w:rFonts w:ascii="Times New Roman" w:hAnsi="Times New Roman"/>
      <w:b w:val="0"/>
      <w:kern w:val="2"/>
      <w:sz w:val="28"/>
    </w:rPr>
  </w:style>
  <w:style w:type="character" w:customStyle="1" w:styleId="137">
    <w:name w:val="文档结构图 字符1"/>
    <w:qFormat/>
    <w:locked/>
    <w:uiPriority w:val="99"/>
    <w:rPr>
      <w:rFonts w:ascii="宋体" w:hAnsi="Times New Roman" w:eastAsia="宋体" w:cs="Times New Roman"/>
      <w:sz w:val="18"/>
      <w:szCs w:val="18"/>
    </w:rPr>
  </w:style>
  <w:style w:type="character" w:customStyle="1" w:styleId="138">
    <w:name w:val="正文文本缩进 Char"/>
    <w:qFormat/>
    <w:uiPriority w:val="99"/>
    <w:rPr>
      <w:rFonts w:eastAsia="宋体"/>
      <w:kern w:val="2"/>
      <w:sz w:val="24"/>
      <w:szCs w:val="24"/>
      <w:lang w:val="en-US" w:eastAsia="zh-CN" w:bidi="ar-SA"/>
    </w:rPr>
  </w:style>
  <w:style w:type="character" w:customStyle="1" w:styleId="139">
    <w:name w:val="标题 8 字符2"/>
    <w:qFormat/>
    <w:locked/>
    <w:uiPriority w:val="99"/>
    <w:rPr>
      <w:rFonts w:ascii="Arial" w:hAnsi="Arial" w:eastAsia="黑体" w:cs="Times New Roman"/>
      <w:kern w:val="0"/>
      <w:sz w:val="20"/>
      <w:szCs w:val="20"/>
    </w:rPr>
  </w:style>
  <w:style w:type="character" w:customStyle="1" w:styleId="140">
    <w:name w:val="页眉 Char1"/>
    <w:qFormat/>
    <w:locked/>
    <w:uiPriority w:val="99"/>
    <w:rPr>
      <w:rFonts w:ascii="Times New Roman" w:hAnsi="Times New Roman" w:eastAsia="宋体" w:cs="Times New Roman"/>
      <w:sz w:val="18"/>
      <w:szCs w:val="18"/>
    </w:rPr>
  </w:style>
  <w:style w:type="character" w:customStyle="1" w:styleId="141">
    <w:name w:val="批注框文本 字符2"/>
    <w:semiHidden/>
    <w:qFormat/>
    <w:locked/>
    <w:uiPriority w:val="99"/>
    <w:rPr>
      <w:rFonts w:ascii="Times New Roman" w:hAnsi="Times New Roman" w:eastAsia="宋体" w:cs="Times New Roman"/>
      <w:sz w:val="18"/>
    </w:rPr>
  </w:style>
  <w:style w:type="character" w:customStyle="1" w:styleId="142">
    <w:name w:val="Body text|1_"/>
    <w:link w:val="143"/>
    <w:qFormat/>
    <w:uiPriority w:val="0"/>
    <w:rPr>
      <w:rFonts w:ascii="宋体" w:hAnsi="宋体" w:cs="宋体"/>
      <w:lang w:val="zh-TW" w:eastAsia="zh-TW" w:bidi="zh-TW"/>
    </w:rPr>
  </w:style>
  <w:style w:type="paragraph" w:customStyle="1" w:styleId="143">
    <w:name w:val="Body text|1"/>
    <w:basedOn w:val="1"/>
    <w:link w:val="142"/>
    <w:qFormat/>
    <w:uiPriority w:val="0"/>
    <w:pPr>
      <w:spacing w:line="480" w:lineRule="auto"/>
      <w:ind w:firstLine="360"/>
      <w:jc w:val="left"/>
    </w:pPr>
    <w:rPr>
      <w:rFonts w:ascii="宋体" w:hAnsi="宋体" w:cs="宋体"/>
      <w:kern w:val="0"/>
      <w:sz w:val="20"/>
      <w:szCs w:val="20"/>
      <w:lang w:val="zh-TW" w:eastAsia="zh-TW" w:bidi="zh-TW"/>
    </w:rPr>
  </w:style>
  <w:style w:type="character" w:customStyle="1" w:styleId="144">
    <w:name w:val="批注文字 字符"/>
    <w:qFormat/>
    <w:uiPriority w:val="99"/>
    <w:rPr>
      <w:rFonts w:ascii="Times New Roman" w:hAnsi="Times New Roman" w:eastAsia="宋体" w:cs="Times New Roman"/>
      <w:sz w:val="24"/>
      <w:lang w:val="en-US" w:eastAsia="zh-CN" w:bidi="ar-SA"/>
    </w:rPr>
  </w:style>
  <w:style w:type="character" w:customStyle="1" w:styleId="145">
    <w:name w:val="标题 9 字符1"/>
    <w:qFormat/>
    <w:locked/>
    <w:uiPriority w:val="99"/>
    <w:rPr>
      <w:rFonts w:ascii="Arial" w:hAnsi="Arial" w:eastAsia="黑体" w:cs="Times New Roman"/>
      <w:kern w:val="0"/>
      <w:sz w:val="20"/>
      <w:szCs w:val="20"/>
    </w:rPr>
  </w:style>
  <w:style w:type="character" w:customStyle="1" w:styleId="146">
    <w:name w:val="正文缩进 Char"/>
    <w:qFormat/>
    <w:uiPriority w:val="0"/>
    <w:rPr>
      <w:rFonts w:ascii="宋体" w:eastAsia="宋体"/>
      <w:kern w:val="2"/>
      <w:sz w:val="24"/>
      <w:szCs w:val="24"/>
      <w:lang w:val="en-US" w:eastAsia="zh-CN" w:bidi="ar-SA"/>
    </w:rPr>
  </w:style>
  <w:style w:type="character" w:customStyle="1" w:styleId="147">
    <w:name w:val="批注主题 字符2"/>
    <w:semiHidden/>
    <w:qFormat/>
    <w:locked/>
    <w:uiPriority w:val="99"/>
    <w:rPr>
      <w:rFonts w:ascii="Times New Roman" w:hAnsi="Times New Roman" w:eastAsia="宋体" w:cs="Times New Roman"/>
      <w:b/>
      <w:kern w:val="0"/>
      <w:sz w:val="24"/>
      <w:szCs w:val="24"/>
    </w:rPr>
  </w:style>
  <w:style w:type="character" w:customStyle="1" w:styleId="148">
    <w:name w:val="标题 6 Char"/>
    <w:qFormat/>
    <w:uiPriority w:val="99"/>
    <w:rPr>
      <w:rFonts w:ascii="Arial" w:hAnsi="Arial" w:eastAsia="黑体"/>
      <w:b/>
      <w:sz w:val="24"/>
      <w:lang w:val="en-US" w:eastAsia="zh-CN" w:bidi="ar-SA"/>
    </w:rPr>
  </w:style>
  <w:style w:type="character" w:customStyle="1" w:styleId="149">
    <w:name w:val="txt"/>
    <w:qFormat/>
    <w:uiPriority w:val="0"/>
  </w:style>
  <w:style w:type="character" w:customStyle="1" w:styleId="150">
    <w:name w:val="日期 字符2"/>
    <w:qFormat/>
    <w:locked/>
    <w:uiPriority w:val="99"/>
    <w:rPr>
      <w:rFonts w:ascii="宋体" w:hAnsi="Times New Roman" w:eastAsia="宋体" w:cs="Times New Roman"/>
      <w:kern w:val="0"/>
      <w:sz w:val="20"/>
    </w:rPr>
  </w:style>
  <w:style w:type="character" w:customStyle="1" w:styleId="151">
    <w:name w:val="Other|1_"/>
    <w:link w:val="152"/>
    <w:qFormat/>
    <w:uiPriority w:val="0"/>
    <w:rPr>
      <w:rFonts w:ascii="宋体" w:hAnsi="宋体" w:cs="宋体"/>
      <w:lang w:val="zh-TW" w:eastAsia="zh-TW" w:bidi="zh-TW"/>
    </w:rPr>
  </w:style>
  <w:style w:type="paragraph" w:customStyle="1" w:styleId="152">
    <w:name w:val="Other|1"/>
    <w:basedOn w:val="1"/>
    <w:link w:val="151"/>
    <w:qFormat/>
    <w:uiPriority w:val="0"/>
    <w:pPr>
      <w:spacing w:line="480" w:lineRule="auto"/>
      <w:ind w:firstLine="360"/>
      <w:jc w:val="left"/>
    </w:pPr>
    <w:rPr>
      <w:rFonts w:ascii="宋体" w:hAnsi="宋体" w:cs="宋体"/>
      <w:kern w:val="0"/>
      <w:sz w:val="20"/>
      <w:szCs w:val="20"/>
      <w:lang w:val="zh-TW" w:eastAsia="zh-TW" w:bidi="zh-TW"/>
    </w:rPr>
  </w:style>
  <w:style w:type="character" w:customStyle="1" w:styleId="153">
    <w:name w:val="正文文本 2 字符2"/>
    <w:qFormat/>
    <w:locked/>
    <w:uiPriority w:val="99"/>
    <w:rPr>
      <w:rFonts w:ascii="Times New Roman" w:hAnsi="Times New Roman" w:eastAsia="黑体" w:cs="Times New Roman"/>
      <w:kern w:val="0"/>
      <w:sz w:val="24"/>
    </w:rPr>
  </w:style>
  <w:style w:type="character" w:customStyle="1" w:styleId="154">
    <w:name w:val="标题 1 Char"/>
    <w:qFormat/>
    <w:uiPriority w:val="99"/>
    <w:rPr>
      <w:rFonts w:eastAsia="宋体"/>
      <w:b/>
      <w:bCs/>
      <w:kern w:val="44"/>
      <w:sz w:val="32"/>
      <w:szCs w:val="44"/>
      <w:lang w:val="en-US" w:eastAsia="zh-CN" w:bidi="ar-SA"/>
    </w:rPr>
  </w:style>
  <w:style w:type="character" w:customStyle="1" w:styleId="155">
    <w:name w:val="street-address"/>
    <w:qFormat/>
    <w:uiPriority w:val="0"/>
  </w:style>
  <w:style w:type="character" w:customStyle="1" w:styleId="156">
    <w:name w:val="未处理的提及1"/>
    <w:unhideWhenUsed/>
    <w:qFormat/>
    <w:uiPriority w:val="99"/>
    <w:rPr>
      <w:color w:val="605E5C"/>
      <w:shd w:val="clear" w:color="auto" w:fill="E1DFDD"/>
    </w:rPr>
  </w:style>
  <w:style w:type="character" w:customStyle="1" w:styleId="157">
    <w:name w:val="样式 粉红"/>
    <w:qFormat/>
    <w:uiPriority w:val="0"/>
    <w:rPr>
      <w:color w:val="auto"/>
      <w:u w:val="none"/>
    </w:rPr>
  </w:style>
  <w:style w:type="character" w:customStyle="1" w:styleId="158">
    <w:name w:val="正文文本 字符2"/>
    <w:qFormat/>
    <w:locked/>
    <w:uiPriority w:val="99"/>
    <w:rPr>
      <w:rFonts w:ascii="Times New Roman" w:hAnsi="Times New Roman" w:eastAsia="黑体" w:cs="Times New Roman"/>
      <w:kern w:val="0"/>
      <w:sz w:val="24"/>
    </w:rPr>
  </w:style>
  <w:style w:type="character" w:customStyle="1" w:styleId="159">
    <w:name w:val="Char Char12"/>
    <w:qFormat/>
    <w:uiPriority w:val="99"/>
    <w:rPr>
      <w:rFonts w:eastAsia="宋体"/>
      <w:kern w:val="2"/>
      <w:sz w:val="24"/>
      <w:lang w:val="en-US" w:eastAsia="zh-CN"/>
    </w:rPr>
  </w:style>
  <w:style w:type="character" w:customStyle="1" w:styleId="160">
    <w:name w:val="标题 2 Char1"/>
    <w:qFormat/>
    <w:uiPriority w:val="0"/>
    <w:rPr>
      <w:rFonts w:eastAsia="宋体"/>
      <w:kern w:val="2"/>
      <w:sz w:val="24"/>
      <w:lang w:val="en-US" w:eastAsia="zh-CN"/>
    </w:rPr>
  </w:style>
  <w:style w:type="character" w:customStyle="1" w:styleId="161">
    <w:name w:val="Char Char111"/>
    <w:qFormat/>
    <w:uiPriority w:val="99"/>
    <w:rPr>
      <w:rFonts w:ascii="宋体" w:eastAsia="宋体"/>
      <w:b/>
      <w:sz w:val="24"/>
      <w:u w:val="single"/>
      <w:lang w:val="en-US" w:eastAsia="zh-CN" w:bidi="ar-SA"/>
    </w:rPr>
  </w:style>
  <w:style w:type="character" w:customStyle="1" w:styleId="162">
    <w:name w:val="正文文本缩进 2 Char"/>
    <w:qFormat/>
    <w:uiPriority w:val="99"/>
    <w:rPr>
      <w:rFonts w:eastAsia="宋体"/>
      <w:szCs w:val="24"/>
      <w:lang w:val="en-US" w:eastAsia="zh-CN" w:bidi="ar-SA"/>
    </w:rPr>
  </w:style>
  <w:style w:type="character" w:customStyle="1" w:styleId="163">
    <w:name w:val="纯文本 Char1"/>
    <w:qFormat/>
    <w:uiPriority w:val="0"/>
    <w:rPr>
      <w:rFonts w:ascii="宋体" w:hAnsi="Courier New" w:eastAsia="宋体"/>
      <w:kern w:val="2"/>
      <w:sz w:val="21"/>
      <w:lang w:val="en-US" w:eastAsia="zh-CN" w:bidi="ar-SA"/>
    </w:rPr>
  </w:style>
  <w:style w:type="character" w:customStyle="1" w:styleId="164">
    <w:name w:val="批注框文本 Char1"/>
    <w:semiHidden/>
    <w:qFormat/>
    <w:uiPriority w:val="99"/>
    <w:rPr>
      <w:rFonts w:ascii="Times New Roman" w:hAnsi="Times New Roman" w:eastAsia="宋体" w:cs="Times New Roman"/>
      <w:sz w:val="18"/>
      <w:szCs w:val="18"/>
    </w:rPr>
  </w:style>
  <w:style w:type="character" w:customStyle="1" w:styleId="165">
    <w:name w:val="标题 9 Char"/>
    <w:qFormat/>
    <w:uiPriority w:val="99"/>
    <w:rPr>
      <w:rFonts w:ascii="Arial" w:hAnsi="Arial" w:eastAsia="黑体"/>
      <w:lang w:val="en-US" w:eastAsia="zh-CN" w:bidi="ar-SA"/>
    </w:rPr>
  </w:style>
  <w:style w:type="character" w:customStyle="1" w:styleId="166">
    <w:name w:val="正文文本缩进 Char1"/>
    <w:link w:val="167"/>
    <w:qFormat/>
    <w:uiPriority w:val="0"/>
    <w:rPr>
      <w:rFonts w:ascii="宋体" w:hAnsi="宋体" w:eastAsia="宋体"/>
      <w:sz w:val="24"/>
      <w:szCs w:val="24"/>
      <w:lang w:bidi="ar-SA"/>
    </w:rPr>
  </w:style>
  <w:style w:type="paragraph" w:customStyle="1" w:styleId="167">
    <w:name w:val="正文文本缩进1"/>
    <w:basedOn w:val="1"/>
    <w:link w:val="166"/>
    <w:qFormat/>
    <w:uiPriority w:val="0"/>
    <w:pPr>
      <w:spacing w:line="480" w:lineRule="exact"/>
      <w:ind w:firstLine="480" w:firstLineChars="200"/>
    </w:pPr>
    <w:rPr>
      <w:rFonts w:ascii="宋体" w:hAnsi="宋体"/>
      <w:kern w:val="0"/>
      <w:sz w:val="24"/>
    </w:rPr>
  </w:style>
  <w:style w:type="character" w:customStyle="1" w:styleId="168">
    <w:name w:val="标题 9 字符2"/>
    <w:qFormat/>
    <w:locked/>
    <w:uiPriority w:val="99"/>
    <w:rPr>
      <w:rFonts w:ascii="Arial" w:hAnsi="Arial" w:eastAsia="黑体" w:cs="Times New Roman"/>
      <w:kern w:val="0"/>
      <w:sz w:val="20"/>
      <w:szCs w:val="20"/>
    </w:rPr>
  </w:style>
  <w:style w:type="character" w:customStyle="1" w:styleId="169">
    <w:name w:val="正文文本缩进 2 Char1"/>
    <w:qFormat/>
    <w:locked/>
    <w:uiPriority w:val="99"/>
    <w:rPr>
      <w:rFonts w:ascii="Times New Roman" w:hAnsi="Times New Roman" w:eastAsia="宋体" w:cs="Times New Roman"/>
      <w:kern w:val="0"/>
      <w:sz w:val="24"/>
      <w:szCs w:val="24"/>
    </w:rPr>
  </w:style>
  <w:style w:type="character" w:customStyle="1" w:styleId="170">
    <w:name w:val="正文文本 2 字符1"/>
    <w:qFormat/>
    <w:locked/>
    <w:uiPriority w:val="99"/>
    <w:rPr>
      <w:rFonts w:ascii="Times New Roman" w:hAnsi="Times New Roman" w:eastAsia="黑体" w:cs="Times New Roman"/>
      <w:bCs/>
      <w:kern w:val="0"/>
      <w:sz w:val="72"/>
      <w:szCs w:val="24"/>
    </w:rPr>
  </w:style>
  <w:style w:type="character" w:customStyle="1" w:styleId="171">
    <w:name w:val="样式 标题 3 + (中文) 黑体 小四 非加粗 段前: 7.8 磅 段后: 0 磅 行距: 固定值 20 磅 Char"/>
    <w:link w:val="172"/>
    <w:qFormat/>
    <w:uiPriority w:val="99"/>
    <w:rPr>
      <w:rFonts w:eastAsia="黑体"/>
      <w:kern w:val="2"/>
      <w:sz w:val="24"/>
    </w:rPr>
  </w:style>
  <w:style w:type="paragraph" w:customStyle="1" w:styleId="172">
    <w:name w:val="样式 标题 3 + (中文) 黑体 小四 非加粗 段前: 7.8 磅 段后: 0 磅 行距: 固定值 20 磅"/>
    <w:basedOn w:val="6"/>
    <w:link w:val="171"/>
    <w:qFormat/>
    <w:uiPriority w:val="99"/>
    <w:pPr>
      <w:autoSpaceDE/>
      <w:autoSpaceDN/>
      <w:adjustRightInd/>
      <w:spacing w:before="0" w:after="0" w:line="400" w:lineRule="exact"/>
      <w:jc w:val="both"/>
    </w:pPr>
    <w:rPr>
      <w:rFonts w:ascii="Times New Roman" w:eastAsia="黑体"/>
      <w:b w:val="0"/>
      <w:kern w:val="2"/>
      <w:u w:val="none"/>
    </w:rPr>
  </w:style>
  <w:style w:type="character" w:customStyle="1" w:styleId="173">
    <w:name w:val="页脚 字符1"/>
    <w:qFormat/>
    <w:locked/>
    <w:uiPriority w:val="99"/>
    <w:rPr>
      <w:rFonts w:ascii="Times New Roman" w:hAnsi="Times New Roman" w:eastAsia="宋体" w:cs="Times New Roman"/>
      <w:sz w:val="18"/>
      <w:szCs w:val="18"/>
    </w:rPr>
  </w:style>
  <w:style w:type="character" w:customStyle="1" w:styleId="174">
    <w:name w:val="注释 Char"/>
    <w:link w:val="175"/>
    <w:qFormat/>
    <w:uiPriority w:val="0"/>
    <w:rPr>
      <w:rFonts w:ascii="宋体" w:hAnsi="宋体"/>
      <w:kern w:val="2"/>
      <w:sz w:val="21"/>
      <w:szCs w:val="21"/>
    </w:rPr>
  </w:style>
  <w:style w:type="paragraph" w:customStyle="1" w:styleId="175">
    <w:name w:val="注释"/>
    <w:basedOn w:val="1"/>
    <w:link w:val="174"/>
    <w:qFormat/>
    <w:uiPriority w:val="0"/>
    <w:pPr>
      <w:adjustRightInd w:val="0"/>
      <w:snapToGrid w:val="0"/>
      <w:ind w:left="420" w:hanging="420" w:hangingChars="200"/>
      <w:jc w:val="left"/>
    </w:pPr>
    <w:rPr>
      <w:rFonts w:ascii="宋体" w:hAnsi="宋体"/>
      <w:szCs w:val="21"/>
    </w:rPr>
  </w:style>
  <w:style w:type="character" w:customStyle="1" w:styleId="176">
    <w:name w:val="标题 7 字符1"/>
    <w:qFormat/>
    <w:locked/>
    <w:uiPriority w:val="99"/>
    <w:rPr>
      <w:rFonts w:ascii="Times New Roman" w:hAnsi="Times New Roman" w:eastAsia="宋体" w:cs="Times New Roman"/>
      <w:b/>
      <w:kern w:val="0"/>
      <w:sz w:val="24"/>
      <w:szCs w:val="20"/>
    </w:rPr>
  </w:style>
  <w:style w:type="character" w:customStyle="1" w:styleId="177">
    <w:name w:val="正文格式 Char"/>
    <w:link w:val="178"/>
    <w:qFormat/>
    <w:locked/>
    <w:uiPriority w:val="0"/>
    <w:rPr>
      <w:rFonts w:ascii="宋体" w:hAnsi="宋体"/>
      <w:sz w:val="24"/>
      <w:szCs w:val="24"/>
      <w:lang w:val="en-GB"/>
    </w:rPr>
  </w:style>
  <w:style w:type="paragraph" w:customStyle="1" w:styleId="178">
    <w:name w:val="正文格式"/>
    <w:basedOn w:val="1"/>
    <w:link w:val="177"/>
    <w:qFormat/>
    <w:uiPriority w:val="0"/>
    <w:pPr>
      <w:spacing w:beforeLines="50" w:line="360" w:lineRule="auto"/>
      <w:ind w:firstLine="480" w:firstLineChars="200"/>
    </w:pPr>
    <w:rPr>
      <w:rFonts w:ascii="宋体" w:hAnsi="宋体"/>
      <w:kern w:val="0"/>
      <w:sz w:val="24"/>
      <w:lang w:val="en-GB"/>
    </w:rPr>
  </w:style>
  <w:style w:type="character" w:customStyle="1" w:styleId="179">
    <w:name w:val="标题 字符2"/>
    <w:qFormat/>
    <w:locked/>
    <w:uiPriority w:val="99"/>
    <w:rPr>
      <w:rFonts w:ascii="Times New Roman" w:hAnsi="Times New Roman" w:eastAsia="宋体" w:cs="Times New Roman"/>
      <w:b/>
      <w:kern w:val="0"/>
      <w:sz w:val="20"/>
    </w:rPr>
  </w:style>
  <w:style w:type="character" w:customStyle="1" w:styleId="180">
    <w:name w:val="标题 5 Char"/>
    <w:qFormat/>
    <w:uiPriority w:val="99"/>
    <w:rPr>
      <w:rFonts w:eastAsia="宋体"/>
      <w:b/>
      <w:sz w:val="28"/>
      <w:lang w:val="en-US" w:eastAsia="zh-CN" w:bidi="ar-SA"/>
    </w:rPr>
  </w:style>
  <w:style w:type="character" w:customStyle="1" w:styleId="181">
    <w:name w:val="locality"/>
    <w:qFormat/>
    <w:uiPriority w:val="0"/>
  </w:style>
  <w:style w:type="character" w:customStyle="1" w:styleId="182">
    <w:name w:val="正文文本缩进 字符2"/>
    <w:qFormat/>
    <w:locked/>
    <w:uiPriority w:val="99"/>
    <w:rPr>
      <w:rFonts w:ascii="Times New Roman" w:hAnsi="Times New Roman" w:eastAsia="宋体" w:cs="Times New Roman"/>
      <w:kern w:val="0"/>
      <w:sz w:val="24"/>
    </w:rPr>
  </w:style>
  <w:style w:type="character" w:customStyle="1" w:styleId="183">
    <w:name w:val="未处理的提及111"/>
    <w:unhideWhenUsed/>
    <w:qFormat/>
    <w:uiPriority w:val="99"/>
    <w:rPr>
      <w:color w:val="605E5C"/>
      <w:shd w:val="clear" w:color="auto" w:fill="E1DFDD"/>
    </w:rPr>
  </w:style>
  <w:style w:type="character" w:customStyle="1" w:styleId="184">
    <w:name w:val="adr3"/>
    <w:qFormat/>
    <w:uiPriority w:val="0"/>
  </w:style>
  <w:style w:type="character" w:customStyle="1" w:styleId="185">
    <w:name w:val="Char111 Char"/>
    <w:link w:val="186"/>
    <w:qFormat/>
    <w:uiPriority w:val="99"/>
    <w:rPr>
      <w:rFonts w:ascii="Tahoma" w:hAnsi="Tahoma"/>
      <w:sz w:val="24"/>
    </w:rPr>
  </w:style>
  <w:style w:type="paragraph" w:customStyle="1" w:styleId="186">
    <w:name w:val="Char111"/>
    <w:basedOn w:val="1"/>
    <w:link w:val="185"/>
    <w:qFormat/>
    <w:uiPriority w:val="99"/>
    <w:rPr>
      <w:rFonts w:ascii="Tahoma" w:hAnsi="Tahoma"/>
      <w:kern w:val="0"/>
      <w:sz w:val="24"/>
      <w:szCs w:val="20"/>
    </w:rPr>
  </w:style>
  <w:style w:type="character" w:customStyle="1" w:styleId="187">
    <w:name w:val="p141"/>
    <w:qFormat/>
    <w:uiPriority w:val="0"/>
    <w:rPr>
      <w:sz w:val="21"/>
      <w:szCs w:val="21"/>
      <w:u w:val="none"/>
    </w:rPr>
  </w:style>
  <w:style w:type="character" w:customStyle="1" w:styleId="188">
    <w:name w:val="标题 2 字符1"/>
    <w:qFormat/>
    <w:locked/>
    <w:uiPriority w:val="99"/>
    <w:rPr>
      <w:rFonts w:ascii="Cambria" w:hAnsi="Cambria" w:eastAsia="宋体" w:cs="Times New Roman"/>
      <w:b/>
      <w:bCs/>
      <w:sz w:val="32"/>
      <w:szCs w:val="32"/>
    </w:rPr>
  </w:style>
  <w:style w:type="character" w:customStyle="1" w:styleId="189">
    <w:name w:val="页脚 Char"/>
    <w:qFormat/>
    <w:uiPriority w:val="99"/>
    <w:rPr>
      <w:rFonts w:ascii="宋体" w:eastAsia="宋体"/>
      <w:sz w:val="18"/>
      <w:lang w:val="en-US" w:eastAsia="zh-CN" w:bidi="ar-SA"/>
    </w:rPr>
  </w:style>
  <w:style w:type="character" w:customStyle="1" w:styleId="190">
    <w:name w:val="日期 字符1"/>
    <w:qFormat/>
    <w:locked/>
    <w:uiPriority w:val="99"/>
    <w:rPr>
      <w:rFonts w:ascii="宋体" w:hAnsi="Times New Roman" w:eastAsia="宋体" w:cs="Times New Roman"/>
      <w:kern w:val="0"/>
      <w:sz w:val="24"/>
      <w:szCs w:val="20"/>
    </w:rPr>
  </w:style>
  <w:style w:type="character" w:customStyle="1" w:styleId="191">
    <w:name w:val="正文大标题 Char"/>
    <w:link w:val="192"/>
    <w:qFormat/>
    <w:uiPriority w:val="0"/>
    <w:rPr>
      <w:rFonts w:ascii="宋体" w:hAnsi="宋体"/>
      <w:b/>
      <w:color w:val="000000"/>
      <w:kern w:val="2"/>
      <w:sz w:val="28"/>
      <w:szCs w:val="21"/>
    </w:rPr>
  </w:style>
  <w:style w:type="paragraph" w:customStyle="1" w:styleId="192">
    <w:name w:val="正文大标题"/>
    <w:basedOn w:val="193"/>
    <w:next w:val="5"/>
    <w:link w:val="191"/>
    <w:qFormat/>
    <w:uiPriority w:val="0"/>
    <w:pPr>
      <w:jc w:val="center"/>
    </w:pPr>
    <w:rPr>
      <w:i w:val="0"/>
      <w:color w:val="000000"/>
      <w:sz w:val="28"/>
      <w:szCs w:val="21"/>
    </w:rPr>
  </w:style>
  <w:style w:type="paragraph" w:customStyle="1" w:styleId="193">
    <w:name w:val="正文小标题"/>
    <w:basedOn w:val="1"/>
    <w:next w:val="5"/>
    <w:link w:val="19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94">
    <w:name w:val="正文小标题 Char"/>
    <w:link w:val="193"/>
    <w:qFormat/>
    <w:uiPriority w:val="0"/>
    <w:rPr>
      <w:rFonts w:ascii="宋体" w:hAnsi="宋体"/>
      <w:b/>
      <w:i/>
      <w:color w:val="FF0000"/>
      <w:kern w:val="2"/>
      <w:sz w:val="24"/>
    </w:rPr>
  </w:style>
  <w:style w:type="character" w:customStyle="1" w:styleId="195">
    <w:name w:val="页眉 字符1"/>
    <w:qFormat/>
    <w:locked/>
    <w:uiPriority w:val="99"/>
    <w:rPr>
      <w:rFonts w:ascii="Times New Roman" w:hAnsi="Times New Roman" w:eastAsia="宋体" w:cs="Times New Roman"/>
      <w:sz w:val="18"/>
      <w:szCs w:val="18"/>
    </w:rPr>
  </w:style>
  <w:style w:type="character" w:customStyle="1" w:styleId="196">
    <w:name w:val="标题 3 Char"/>
    <w:qFormat/>
    <w:uiPriority w:val="99"/>
    <w:rPr>
      <w:rFonts w:ascii="宋体" w:eastAsia="宋体"/>
      <w:b/>
      <w:sz w:val="24"/>
      <w:u w:val="single"/>
      <w:lang w:val="en-US" w:eastAsia="zh-CN" w:bidi="ar-SA"/>
    </w:rPr>
  </w:style>
  <w:style w:type="character" w:customStyle="1" w:styleId="197">
    <w:name w:val="标题 字符1"/>
    <w:qFormat/>
    <w:locked/>
    <w:uiPriority w:val="99"/>
    <w:rPr>
      <w:rFonts w:ascii="Times New Roman" w:hAnsi="Times New Roman" w:eastAsia="宋体" w:cs="Times New Roman"/>
      <w:b/>
      <w:kern w:val="0"/>
      <w:sz w:val="44"/>
      <w:szCs w:val="20"/>
    </w:rPr>
  </w:style>
  <w:style w:type="character" w:customStyle="1" w:styleId="198">
    <w:name w:val="列出段落 Char"/>
    <w:qFormat/>
    <w:uiPriority w:val="0"/>
    <w:rPr>
      <w:rFonts w:ascii="Calibri" w:hAnsi="Calibri" w:eastAsia="宋体"/>
      <w:kern w:val="2"/>
      <w:sz w:val="21"/>
      <w:szCs w:val="22"/>
      <w:lang w:val="en-US" w:eastAsia="zh-CN" w:bidi="ar-SA"/>
    </w:rPr>
  </w:style>
  <w:style w:type="character" w:customStyle="1" w:styleId="199">
    <w:name w:val="正文文本 2 Char1"/>
    <w:semiHidden/>
    <w:qFormat/>
    <w:uiPriority w:val="99"/>
    <w:rPr>
      <w:rFonts w:ascii="Times New Roman" w:hAnsi="Times New Roman" w:eastAsia="宋体" w:cs="Times New Roman"/>
      <w:sz w:val="24"/>
      <w:szCs w:val="24"/>
    </w:rPr>
  </w:style>
  <w:style w:type="character" w:customStyle="1" w:styleId="200">
    <w:name w:val="标题 7 Char"/>
    <w:qFormat/>
    <w:uiPriority w:val="99"/>
    <w:rPr>
      <w:rFonts w:eastAsia="宋体"/>
      <w:b/>
      <w:sz w:val="24"/>
      <w:lang w:val="en-US" w:eastAsia="zh-CN" w:bidi="ar-SA"/>
    </w:rPr>
  </w:style>
  <w:style w:type="character" w:customStyle="1" w:styleId="201">
    <w:name w:val="Char Char11"/>
    <w:qFormat/>
    <w:uiPriority w:val="99"/>
    <w:rPr>
      <w:rFonts w:ascii="宋体" w:eastAsia="宋体"/>
      <w:b/>
      <w:sz w:val="24"/>
      <w:u w:val="single"/>
      <w:lang w:val="en-US" w:eastAsia="zh-CN" w:bidi="ar-SA"/>
    </w:rPr>
  </w:style>
  <w:style w:type="character" w:customStyle="1" w:styleId="202">
    <w:name w:val="c21"/>
    <w:qFormat/>
    <w:uiPriority w:val="0"/>
    <w:rPr>
      <w:rFonts w:hint="default" w:ascii="ˎ̥" w:hAnsi="ˎ̥"/>
      <w:color w:val="000000"/>
      <w:sz w:val="20"/>
      <w:szCs w:val="20"/>
      <w:u w:val="none"/>
    </w:rPr>
  </w:style>
  <w:style w:type="character" w:customStyle="1" w:styleId="203">
    <w:name w:val="标题 7 字符2"/>
    <w:qFormat/>
    <w:locked/>
    <w:uiPriority w:val="99"/>
    <w:rPr>
      <w:rFonts w:ascii="Times New Roman" w:hAnsi="Times New Roman" w:eastAsia="宋体" w:cs="Times New Roman"/>
      <w:b/>
      <w:kern w:val="0"/>
      <w:sz w:val="20"/>
      <w:szCs w:val="20"/>
    </w:rPr>
  </w:style>
  <w:style w:type="character" w:customStyle="1" w:styleId="204">
    <w:name w:val="标题 3 Char Char Char Char Char Char Char Char Char Char Char"/>
    <w:qFormat/>
    <w:uiPriority w:val="0"/>
    <w:rPr>
      <w:b/>
      <w:bCs/>
      <w:szCs w:val="32"/>
    </w:rPr>
  </w:style>
  <w:style w:type="character" w:customStyle="1" w:styleId="205">
    <w:name w:val="正文文本缩进 2 字符2"/>
    <w:qFormat/>
    <w:locked/>
    <w:uiPriority w:val="99"/>
    <w:rPr>
      <w:rFonts w:ascii="Times New Roman" w:hAnsi="Times New Roman" w:eastAsia="宋体" w:cs="Times New Roman"/>
      <w:kern w:val="0"/>
      <w:sz w:val="24"/>
    </w:rPr>
  </w:style>
  <w:style w:type="character" w:customStyle="1" w:styleId="206">
    <w:name w:val="Body text|4_"/>
    <w:link w:val="207"/>
    <w:qFormat/>
    <w:uiPriority w:val="0"/>
    <w:rPr>
      <w:rFonts w:ascii="宋体" w:hAnsi="宋体" w:cs="宋体"/>
      <w:lang w:val="zh-TW" w:eastAsia="zh-TW" w:bidi="zh-TW"/>
    </w:rPr>
  </w:style>
  <w:style w:type="paragraph" w:customStyle="1" w:styleId="207">
    <w:name w:val="Body text|4"/>
    <w:basedOn w:val="1"/>
    <w:link w:val="206"/>
    <w:qFormat/>
    <w:uiPriority w:val="0"/>
    <w:pPr>
      <w:spacing w:after="110"/>
      <w:jc w:val="left"/>
    </w:pPr>
    <w:rPr>
      <w:rFonts w:ascii="宋体" w:hAnsi="宋体" w:cs="宋体"/>
      <w:kern w:val="0"/>
      <w:sz w:val="20"/>
      <w:szCs w:val="20"/>
      <w:lang w:val="zh-TW" w:eastAsia="zh-TW" w:bidi="zh-TW"/>
    </w:rPr>
  </w:style>
  <w:style w:type="character" w:customStyle="1" w:styleId="208">
    <w:name w:val="标题 3 字符2"/>
    <w:qFormat/>
    <w:locked/>
    <w:uiPriority w:val="99"/>
    <w:rPr>
      <w:rFonts w:ascii="Times New Roman" w:hAnsi="Times New Roman" w:eastAsia="宋体" w:cs="Times New Roman"/>
      <w:b/>
      <w:bCs/>
      <w:kern w:val="0"/>
      <w:sz w:val="32"/>
      <w:szCs w:val="32"/>
    </w:rPr>
  </w:style>
  <w:style w:type="character" w:customStyle="1" w:styleId="209">
    <w:name w:val="第二层条 C"/>
    <w:qFormat/>
    <w:uiPriority w:val="0"/>
    <w:rPr>
      <w:rFonts w:eastAsia="宋体"/>
      <w:b/>
      <w:bCs/>
      <w:kern w:val="2"/>
      <w:sz w:val="32"/>
      <w:szCs w:val="32"/>
      <w:lang w:val="en-US" w:eastAsia="zh-CN" w:bidi="he-IL"/>
    </w:rPr>
  </w:style>
  <w:style w:type="character" w:customStyle="1" w:styleId="210">
    <w:name w:val="标题 5 字符1"/>
    <w:qFormat/>
    <w:locked/>
    <w:uiPriority w:val="99"/>
    <w:rPr>
      <w:rFonts w:ascii="Times New Roman" w:hAnsi="Times New Roman" w:eastAsia="宋体" w:cs="Times New Roman"/>
      <w:b/>
      <w:kern w:val="0"/>
      <w:sz w:val="28"/>
      <w:szCs w:val="20"/>
    </w:rPr>
  </w:style>
  <w:style w:type="character" w:customStyle="1" w:styleId="211">
    <w:name w:val="标题 Char"/>
    <w:qFormat/>
    <w:uiPriority w:val="99"/>
    <w:rPr>
      <w:b/>
      <w:kern w:val="2"/>
      <w:sz w:val="32"/>
    </w:rPr>
  </w:style>
  <w:style w:type="character" w:customStyle="1" w:styleId="212">
    <w:name w:val="正文文本缩进 3 字符1"/>
    <w:qFormat/>
    <w:locked/>
    <w:uiPriority w:val="99"/>
    <w:rPr>
      <w:rFonts w:ascii="Times New Roman" w:hAnsi="Times New Roman" w:eastAsia="宋体" w:cs="Times New Roman"/>
      <w:kern w:val="0"/>
      <w:sz w:val="16"/>
      <w:szCs w:val="16"/>
    </w:rPr>
  </w:style>
  <w:style w:type="character" w:customStyle="1" w:styleId="213">
    <w:name w:val="Char Char"/>
    <w:qFormat/>
    <w:uiPriority w:val="0"/>
    <w:rPr>
      <w:rFonts w:ascii="Arial" w:hAnsi="Arial" w:eastAsia="黑体"/>
      <w:b/>
      <w:bCs/>
      <w:kern w:val="2"/>
      <w:sz w:val="32"/>
      <w:szCs w:val="32"/>
      <w:lang w:val="en-US" w:eastAsia="zh-CN" w:bidi="ar-SA"/>
    </w:rPr>
  </w:style>
  <w:style w:type="character" w:customStyle="1" w:styleId="214">
    <w:name w:val="标题 1 字符1"/>
    <w:qFormat/>
    <w:locked/>
    <w:uiPriority w:val="99"/>
    <w:rPr>
      <w:rFonts w:ascii="Times New Roman" w:hAnsi="Times New Roman" w:eastAsia="宋体" w:cs="Times New Roman"/>
      <w:b/>
      <w:bCs/>
      <w:kern w:val="44"/>
      <w:sz w:val="32"/>
      <w:szCs w:val="44"/>
    </w:rPr>
  </w:style>
  <w:style w:type="character" w:customStyle="1" w:styleId="215">
    <w:name w:val="纯文本 字符1"/>
    <w:qFormat/>
    <w:uiPriority w:val="0"/>
    <w:rPr>
      <w:rFonts w:ascii="宋体" w:hAnsi="Courier New"/>
    </w:rPr>
  </w:style>
  <w:style w:type="character" w:customStyle="1" w:styleId="216">
    <w:name w:val="正文文本 字符1"/>
    <w:qFormat/>
    <w:locked/>
    <w:uiPriority w:val="99"/>
    <w:rPr>
      <w:rFonts w:ascii="Times New Roman" w:hAnsi="Times New Roman" w:eastAsia="黑体" w:cs="Times New Roman"/>
      <w:kern w:val="0"/>
      <w:sz w:val="36"/>
      <w:szCs w:val="24"/>
    </w:rPr>
  </w:style>
  <w:style w:type="character" w:customStyle="1" w:styleId="217">
    <w:name w:val="正文表格 Char"/>
    <w:link w:val="218"/>
    <w:qFormat/>
    <w:uiPriority w:val="0"/>
    <w:rPr>
      <w:rFonts w:ascii="宋体" w:hAnsi="宋体"/>
      <w:color w:val="000000"/>
      <w:kern w:val="2"/>
      <w:sz w:val="21"/>
      <w:szCs w:val="21"/>
    </w:rPr>
  </w:style>
  <w:style w:type="paragraph" w:customStyle="1" w:styleId="218">
    <w:name w:val="正文表格"/>
    <w:basedOn w:val="1"/>
    <w:link w:val="217"/>
    <w:qFormat/>
    <w:uiPriority w:val="0"/>
    <w:pPr>
      <w:adjustRightInd w:val="0"/>
      <w:snapToGrid w:val="0"/>
      <w:jc w:val="left"/>
    </w:pPr>
    <w:rPr>
      <w:rFonts w:ascii="宋体" w:hAnsi="宋体"/>
      <w:color w:val="000000"/>
      <w:szCs w:val="21"/>
    </w:rPr>
  </w:style>
  <w:style w:type="character" w:customStyle="1" w:styleId="219">
    <w:name w:val="正文文本缩进 字符1"/>
    <w:qFormat/>
    <w:locked/>
    <w:uiPriority w:val="99"/>
    <w:rPr>
      <w:rFonts w:ascii="Times New Roman" w:hAnsi="Times New Roman" w:eastAsia="宋体" w:cs="Times New Roman"/>
      <w:kern w:val="0"/>
      <w:sz w:val="20"/>
      <w:szCs w:val="24"/>
    </w:rPr>
  </w:style>
  <w:style w:type="character" w:customStyle="1" w:styleId="220">
    <w:name w:val="纯文本 Char"/>
    <w:qFormat/>
    <w:uiPriority w:val="99"/>
    <w:rPr>
      <w:rFonts w:ascii="宋体" w:hAnsi="Courier New" w:cs="Courier New"/>
      <w:kern w:val="2"/>
      <w:sz w:val="21"/>
      <w:szCs w:val="21"/>
    </w:rPr>
  </w:style>
  <w:style w:type="character" w:customStyle="1" w:styleId="221">
    <w:name w:val="正文文本 3 Char1"/>
    <w:semiHidden/>
    <w:qFormat/>
    <w:uiPriority w:val="99"/>
    <w:rPr>
      <w:rFonts w:ascii="Times New Roman" w:hAnsi="Times New Roman" w:eastAsia="宋体" w:cs="Times New Roman"/>
      <w:sz w:val="16"/>
      <w:szCs w:val="16"/>
    </w:rPr>
  </w:style>
  <w:style w:type="character" w:customStyle="1" w:styleId="222">
    <w:name w:val="批注框文本 Char"/>
    <w:semiHidden/>
    <w:qFormat/>
    <w:uiPriority w:val="0"/>
    <w:rPr>
      <w:rFonts w:eastAsia="宋体"/>
      <w:kern w:val="2"/>
      <w:sz w:val="18"/>
      <w:szCs w:val="18"/>
      <w:lang w:val="en-US" w:eastAsia="zh-CN" w:bidi="ar-SA"/>
    </w:rPr>
  </w:style>
  <w:style w:type="character" w:customStyle="1" w:styleId="223">
    <w:name w:val="正文缩进 Char Char"/>
    <w:link w:val="224"/>
    <w:qFormat/>
    <w:uiPriority w:val="0"/>
    <w:rPr>
      <w:rFonts w:ascii="宋体" w:eastAsia="宋体"/>
      <w:snapToGrid w:val="0"/>
      <w:color w:val="000000"/>
      <w:kern w:val="28"/>
      <w:sz w:val="28"/>
      <w:lang w:bidi="ar-SA"/>
    </w:rPr>
  </w:style>
  <w:style w:type="paragraph" w:customStyle="1" w:styleId="224">
    <w:name w:val="正文缩进1"/>
    <w:basedOn w:val="1"/>
    <w:link w:val="223"/>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225">
    <w:name w:val="正文文本 3 字符2"/>
    <w:qFormat/>
    <w:locked/>
    <w:uiPriority w:val="99"/>
    <w:rPr>
      <w:rFonts w:ascii="Times New Roman" w:hAnsi="Times New Roman" w:eastAsia="宋体" w:cs="Times New Roman"/>
      <w:kern w:val="0"/>
      <w:sz w:val="16"/>
    </w:rPr>
  </w:style>
  <w:style w:type="character" w:customStyle="1" w:styleId="226">
    <w:name w:val="Char Char2"/>
    <w:qFormat/>
    <w:uiPriority w:val="99"/>
    <w:rPr>
      <w:rFonts w:ascii="Arial" w:hAnsi="Arial" w:eastAsia="黑体"/>
      <w:b/>
      <w:kern w:val="2"/>
      <w:sz w:val="32"/>
      <w:lang w:val="en-US" w:eastAsia="zh-CN"/>
    </w:rPr>
  </w:style>
  <w:style w:type="character" w:customStyle="1" w:styleId="227">
    <w:name w:val="批注主题 Char"/>
    <w:semiHidden/>
    <w:qFormat/>
    <w:uiPriority w:val="99"/>
    <w:rPr>
      <w:rFonts w:eastAsia="宋体"/>
      <w:b/>
      <w:bCs/>
      <w:szCs w:val="24"/>
      <w:lang w:val="en-US" w:eastAsia="zh-CN" w:bidi="ar-SA"/>
    </w:rPr>
  </w:style>
  <w:style w:type="character" w:customStyle="1" w:styleId="228">
    <w:name w:val="正文重点 Char"/>
    <w:link w:val="229"/>
    <w:qFormat/>
    <w:uiPriority w:val="0"/>
    <w:rPr>
      <w:b/>
      <w:sz w:val="24"/>
    </w:rPr>
  </w:style>
  <w:style w:type="paragraph" w:customStyle="1" w:styleId="229">
    <w:name w:val="正文重点"/>
    <w:basedOn w:val="1"/>
    <w:link w:val="228"/>
    <w:qFormat/>
    <w:uiPriority w:val="0"/>
    <w:pPr>
      <w:adjustRightInd w:val="0"/>
      <w:spacing w:line="360" w:lineRule="auto"/>
      <w:ind w:firstLine="482" w:firstLineChars="200"/>
      <w:jc w:val="left"/>
      <w:textAlignment w:val="baseline"/>
    </w:pPr>
    <w:rPr>
      <w:b/>
      <w:kern w:val="0"/>
      <w:sz w:val="24"/>
      <w:szCs w:val="20"/>
    </w:rPr>
  </w:style>
  <w:style w:type="character" w:customStyle="1" w:styleId="230">
    <w:name w:val="页脚 字符2"/>
    <w:qFormat/>
    <w:locked/>
    <w:uiPriority w:val="99"/>
    <w:rPr>
      <w:rFonts w:cs="Times New Roman"/>
      <w:sz w:val="18"/>
      <w:szCs w:val="18"/>
    </w:rPr>
  </w:style>
  <w:style w:type="character" w:customStyle="1" w:styleId="231">
    <w:name w:val="标题 5 字符2"/>
    <w:qFormat/>
    <w:locked/>
    <w:uiPriority w:val="99"/>
    <w:rPr>
      <w:rFonts w:ascii="Times New Roman" w:hAnsi="Times New Roman" w:eastAsia="宋体" w:cs="Times New Roman"/>
      <w:b/>
      <w:kern w:val="0"/>
      <w:sz w:val="20"/>
      <w:szCs w:val="20"/>
    </w:rPr>
  </w:style>
  <w:style w:type="character" w:customStyle="1" w:styleId="232">
    <w:name w:val="title4"/>
    <w:qFormat/>
    <w:uiPriority w:val="0"/>
    <w:rPr>
      <w:b/>
      <w:bCs/>
      <w:color w:val="1D87B3"/>
      <w:sz w:val="15"/>
      <w:szCs w:val="15"/>
    </w:rPr>
  </w:style>
  <w:style w:type="character" w:customStyle="1" w:styleId="233">
    <w:name w:val="纯文本 Char Char"/>
    <w:qFormat/>
    <w:uiPriority w:val="0"/>
    <w:rPr>
      <w:rFonts w:ascii="宋体" w:hAnsi="Courier New" w:eastAsia="宋体"/>
      <w:kern w:val="2"/>
      <w:sz w:val="21"/>
      <w:lang w:val="en-US" w:eastAsia="zh-CN" w:bidi="ar-SA"/>
    </w:rPr>
  </w:style>
  <w:style w:type="character" w:customStyle="1" w:styleId="234">
    <w:name w:val="正文文本缩进 3 字符2"/>
    <w:qFormat/>
    <w:locked/>
    <w:uiPriority w:val="99"/>
    <w:rPr>
      <w:rFonts w:ascii="Times New Roman" w:hAnsi="Times New Roman" w:eastAsia="宋体" w:cs="Times New Roman"/>
      <w:kern w:val="0"/>
      <w:sz w:val="16"/>
    </w:rPr>
  </w:style>
  <w:style w:type="character" w:customStyle="1" w:styleId="235">
    <w:name w:val="标题 4 Char"/>
    <w:qFormat/>
    <w:uiPriority w:val="99"/>
    <w:rPr>
      <w:rFonts w:ascii="Arial" w:hAnsi="Arial" w:eastAsia="黑体"/>
      <w:b/>
      <w:sz w:val="28"/>
      <w:lang w:val="en-US" w:eastAsia="zh-CN" w:bidi="ar-SA"/>
    </w:rPr>
  </w:style>
  <w:style w:type="character" w:customStyle="1" w:styleId="236">
    <w:name w:val="标题 2 Char Char"/>
    <w:qFormat/>
    <w:uiPriority w:val="0"/>
    <w:rPr>
      <w:rFonts w:ascii="Arial" w:hAnsi="Arial" w:eastAsia="黑体"/>
      <w:b/>
      <w:bCs/>
      <w:kern w:val="2"/>
      <w:sz w:val="32"/>
      <w:szCs w:val="32"/>
      <w:lang w:val="en-US" w:eastAsia="zh-CN" w:bidi="ar-SA"/>
    </w:rPr>
  </w:style>
  <w:style w:type="character" w:customStyle="1" w:styleId="237">
    <w:name w:val="批注主题 Char1"/>
    <w:semiHidden/>
    <w:qFormat/>
    <w:uiPriority w:val="99"/>
    <w:rPr>
      <w:rFonts w:ascii="Times New Roman" w:hAnsi="Times New Roman" w:eastAsia="宋体" w:cs="Times New Roman"/>
      <w:b/>
      <w:bCs/>
      <w:sz w:val="24"/>
      <w:szCs w:val="24"/>
    </w:rPr>
  </w:style>
  <w:style w:type="character" w:customStyle="1" w:styleId="238">
    <w:name w:val="文档结构图 Char"/>
    <w:semiHidden/>
    <w:qFormat/>
    <w:uiPriority w:val="99"/>
    <w:rPr>
      <w:rFonts w:ascii="宋体" w:eastAsia="宋体"/>
      <w:kern w:val="2"/>
      <w:sz w:val="18"/>
      <w:szCs w:val="18"/>
      <w:lang w:val="en-US" w:eastAsia="zh-CN" w:bidi="ar-SA"/>
    </w:rPr>
  </w:style>
  <w:style w:type="character" w:customStyle="1" w:styleId="239">
    <w:name w:val="chanpin1"/>
    <w:qFormat/>
    <w:uiPriority w:val="0"/>
    <w:rPr>
      <w:rFonts w:hint="default" w:ascii="ˎ̥" w:hAnsi="ˎ̥"/>
      <w:color w:val="000000"/>
      <w:sz w:val="20"/>
      <w:szCs w:val="20"/>
      <w:u w:val="none"/>
    </w:rPr>
  </w:style>
  <w:style w:type="character" w:customStyle="1" w:styleId="240">
    <w:name w:val="标题 1 字符2"/>
    <w:qFormat/>
    <w:locked/>
    <w:uiPriority w:val="99"/>
    <w:rPr>
      <w:rFonts w:ascii="Times New Roman" w:hAnsi="Times New Roman" w:eastAsia="宋体" w:cs="Times New Roman"/>
      <w:b/>
      <w:bCs/>
      <w:kern w:val="44"/>
      <w:sz w:val="44"/>
      <w:szCs w:val="44"/>
    </w:rPr>
  </w:style>
  <w:style w:type="character" w:customStyle="1" w:styleId="241">
    <w:name w:val="chanpin拷贝"/>
    <w:qFormat/>
    <w:uiPriority w:val="0"/>
  </w:style>
  <w:style w:type="character" w:customStyle="1" w:styleId="242">
    <w:name w:val="正文文本 3 字符1"/>
    <w:qFormat/>
    <w:locked/>
    <w:uiPriority w:val="99"/>
    <w:rPr>
      <w:rFonts w:ascii="Times New Roman" w:hAnsi="Times New Roman" w:eastAsia="宋体" w:cs="Times New Roman"/>
      <w:kern w:val="0"/>
      <w:sz w:val="16"/>
      <w:szCs w:val="16"/>
    </w:rPr>
  </w:style>
  <w:style w:type="character" w:customStyle="1" w:styleId="243">
    <w:name w:val="中等深浅网格 1 - 强调文字颜色 2 Char"/>
    <w:link w:val="244"/>
    <w:qFormat/>
    <w:uiPriority w:val="0"/>
    <w:rPr>
      <w:kern w:val="2"/>
      <w:sz w:val="21"/>
      <w:szCs w:val="24"/>
      <w:lang w:val="zh-CN" w:eastAsia="zh-CN" w:bidi="ar-SA"/>
    </w:rPr>
  </w:style>
  <w:style w:type="paragraph" w:customStyle="1" w:styleId="244">
    <w:name w:val="1"/>
    <w:link w:val="243"/>
    <w:qFormat/>
    <w:uiPriority w:val="0"/>
    <w:rPr>
      <w:rFonts w:ascii="Times New Roman" w:hAnsi="Times New Roman" w:eastAsia="宋体" w:cs="Times New Roman"/>
      <w:kern w:val="2"/>
      <w:sz w:val="21"/>
      <w:szCs w:val="24"/>
      <w:lang w:val="zh-CN" w:eastAsia="zh-CN" w:bidi="ar-SA"/>
    </w:rPr>
  </w:style>
  <w:style w:type="character" w:customStyle="1" w:styleId="245">
    <w:name w:val="标题 4 字符1"/>
    <w:qFormat/>
    <w:locked/>
    <w:uiPriority w:val="99"/>
    <w:rPr>
      <w:rFonts w:ascii="Arial" w:hAnsi="Arial" w:eastAsia="黑体" w:cs="Times New Roman"/>
      <w:b/>
      <w:kern w:val="0"/>
      <w:sz w:val="28"/>
      <w:szCs w:val="20"/>
    </w:rPr>
  </w:style>
  <w:style w:type="character" w:customStyle="1" w:styleId="246">
    <w:name w:val="批注文字 Char"/>
    <w:qFormat/>
    <w:uiPriority w:val="99"/>
    <w:rPr>
      <w:kern w:val="2"/>
      <w:sz w:val="21"/>
      <w:szCs w:val="24"/>
    </w:rPr>
  </w:style>
  <w:style w:type="character" w:customStyle="1" w:styleId="247">
    <w:name w:val="标题 Char1"/>
    <w:qFormat/>
    <w:uiPriority w:val="10"/>
    <w:rPr>
      <w:rFonts w:ascii="Cambria" w:hAnsi="Cambria" w:eastAsia="宋体" w:cs="Times New Roman"/>
      <w:b/>
      <w:bCs/>
      <w:sz w:val="32"/>
      <w:szCs w:val="32"/>
    </w:rPr>
  </w:style>
  <w:style w:type="character" w:customStyle="1" w:styleId="248">
    <w:name w:val="正文文本 2 Char"/>
    <w:qFormat/>
    <w:uiPriority w:val="99"/>
    <w:rPr>
      <w:rFonts w:eastAsia="黑体"/>
      <w:bCs/>
      <w:sz w:val="72"/>
      <w:szCs w:val="24"/>
      <w:lang w:val="en-US" w:eastAsia="zh-CN" w:bidi="ar-SA"/>
    </w:rPr>
  </w:style>
  <w:style w:type="character" w:customStyle="1" w:styleId="249">
    <w:name w:val="页眉 Char"/>
    <w:qFormat/>
    <w:uiPriority w:val="99"/>
    <w:rPr>
      <w:rFonts w:eastAsia="宋体"/>
      <w:kern w:val="2"/>
      <w:sz w:val="18"/>
      <w:szCs w:val="18"/>
      <w:lang w:val="en-US" w:eastAsia="zh-CN" w:bidi="ar-SA"/>
    </w:rPr>
  </w:style>
  <w:style w:type="character" w:customStyle="1" w:styleId="250">
    <w:name w:val="正文文本缩进 3 Char"/>
    <w:qFormat/>
    <w:uiPriority w:val="99"/>
    <w:rPr>
      <w:rFonts w:eastAsia="宋体"/>
      <w:sz w:val="16"/>
      <w:szCs w:val="16"/>
      <w:lang w:val="en-US" w:eastAsia="zh-CN" w:bidi="ar-SA"/>
    </w:rPr>
  </w:style>
  <w:style w:type="character" w:customStyle="1" w:styleId="251">
    <w:name w:val="apple-style-span"/>
    <w:qFormat/>
    <w:uiPriority w:val="0"/>
    <w:rPr>
      <w:rFonts w:cs="Times New Roman"/>
    </w:rPr>
  </w:style>
  <w:style w:type="character" w:customStyle="1" w:styleId="252">
    <w:name w:val="_Style 251"/>
    <w:unhideWhenUsed/>
    <w:qFormat/>
    <w:uiPriority w:val="99"/>
    <w:rPr>
      <w:color w:val="605E5C"/>
      <w:shd w:val="clear" w:color="auto" w:fill="E1DFDD"/>
    </w:rPr>
  </w:style>
  <w:style w:type="character" w:customStyle="1" w:styleId="253">
    <w:name w:val="标题 2 Char"/>
    <w:qFormat/>
    <w:uiPriority w:val="0"/>
    <w:rPr>
      <w:rFonts w:ascii="Arial" w:hAnsi="Arial" w:eastAsia="黑体"/>
      <w:b/>
      <w:sz w:val="30"/>
      <w:lang w:val="en-US" w:eastAsia="zh-CN" w:bidi="ar-SA"/>
    </w:rPr>
  </w:style>
  <w:style w:type="character" w:customStyle="1" w:styleId="254">
    <w:name w:val="尾注文本 Char1"/>
    <w:semiHidden/>
    <w:qFormat/>
    <w:uiPriority w:val="99"/>
    <w:rPr>
      <w:kern w:val="2"/>
      <w:sz w:val="21"/>
      <w:szCs w:val="24"/>
    </w:rPr>
  </w:style>
  <w:style w:type="character" w:customStyle="1" w:styleId="255">
    <w:name w:val="标题 6 字符2"/>
    <w:qFormat/>
    <w:locked/>
    <w:uiPriority w:val="99"/>
    <w:rPr>
      <w:rFonts w:ascii="Arial" w:hAnsi="Arial" w:eastAsia="黑体" w:cs="Times New Roman"/>
      <w:b/>
      <w:kern w:val="0"/>
      <w:sz w:val="20"/>
      <w:szCs w:val="20"/>
    </w:rPr>
  </w:style>
  <w:style w:type="character" w:customStyle="1" w:styleId="256">
    <w:name w:val="value"/>
    <w:qFormat/>
    <w:uiPriority w:val="0"/>
  </w:style>
  <w:style w:type="character" w:customStyle="1" w:styleId="257">
    <w:name w:val="正文文本 Char"/>
    <w:qFormat/>
    <w:uiPriority w:val="99"/>
    <w:rPr>
      <w:rFonts w:eastAsia="黑体"/>
      <w:sz w:val="36"/>
      <w:szCs w:val="24"/>
      <w:lang w:val="en-US" w:eastAsia="zh-CN" w:bidi="ar-SA"/>
    </w:rPr>
  </w:style>
  <w:style w:type="character" w:customStyle="1" w:styleId="258">
    <w:name w:val="标题 3 Char Char"/>
    <w:qFormat/>
    <w:uiPriority w:val="0"/>
    <w:rPr>
      <w:rFonts w:eastAsia="宋体"/>
      <w:b/>
      <w:bCs/>
      <w:kern w:val="2"/>
      <w:sz w:val="32"/>
      <w:szCs w:val="32"/>
      <w:lang w:val="en-US" w:eastAsia="zh-CN" w:bidi="ar-SA"/>
    </w:rPr>
  </w:style>
  <w:style w:type="character" w:customStyle="1" w:styleId="259">
    <w:name w:val="批注主题 字符1"/>
    <w:qFormat/>
    <w:locked/>
    <w:uiPriority w:val="99"/>
    <w:rPr>
      <w:rFonts w:ascii="Times New Roman" w:hAnsi="Times New Roman" w:eastAsia="宋体" w:cs="Times New Roman"/>
      <w:b/>
      <w:bCs/>
      <w:kern w:val="0"/>
      <w:sz w:val="20"/>
      <w:szCs w:val="24"/>
    </w:rPr>
  </w:style>
  <w:style w:type="character" w:customStyle="1" w:styleId="260">
    <w:name w:val="标题 4 字符2"/>
    <w:qFormat/>
    <w:locked/>
    <w:uiPriority w:val="99"/>
    <w:rPr>
      <w:rFonts w:ascii="Arial" w:hAnsi="Arial" w:eastAsia="黑体" w:cs="Times New Roman"/>
      <w:b/>
      <w:kern w:val="0"/>
      <w:sz w:val="20"/>
      <w:szCs w:val="20"/>
    </w:rPr>
  </w:style>
  <w:style w:type="character" w:customStyle="1" w:styleId="261">
    <w:name w:val="脚注文本 Char1"/>
    <w:semiHidden/>
    <w:qFormat/>
    <w:uiPriority w:val="99"/>
    <w:rPr>
      <w:kern w:val="2"/>
      <w:sz w:val="18"/>
      <w:szCs w:val="18"/>
    </w:rPr>
  </w:style>
  <w:style w:type="character" w:customStyle="1" w:styleId="262">
    <w:name w:val="文档结构图 Char1"/>
    <w:semiHidden/>
    <w:qFormat/>
    <w:uiPriority w:val="99"/>
    <w:rPr>
      <w:rFonts w:ascii="宋体" w:hAnsi="Times New Roman" w:eastAsia="宋体" w:cs="Times New Roman"/>
      <w:sz w:val="18"/>
      <w:szCs w:val="18"/>
    </w:rPr>
  </w:style>
  <w:style w:type="character" w:customStyle="1" w:styleId="263">
    <w:name w:val="标题 8 Char"/>
    <w:qFormat/>
    <w:uiPriority w:val="99"/>
    <w:rPr>
      <w:rFonts w:ascii="Arial" w:hAnsi="Arial" w:eastAsia="黑体"/>
      <w:sz w:val="24"/>
      <w:lang w:val="en-US" w:eastAsia="zh-CN" w:bidi="ar-SA"/>
    </w:rPr>
  </w:style>
  <w:style w:type="character" w:customStyle="1" w:styleId="264">
    <w:name w:val="普通文字1 Char1"/>
    <w:qFormat/>
    <w:uiPriority w:val="0"/>
    <w:rPr>
      <w:rFonts w:ascii="宋体" w:hAnsi="Courier New" w:eastAsia="宋体"/>
      <w:kern w:val="2"/>
      <w:sz w:val="21"/>
      <w:lang w:val="en-US" w:eastAsia="zh-CN" w:bidi="ar-SA"/>
    </w:rPr>
  </w:style>
  <w:style w:type="character" w:customStyle="1" w:styleId="265">
    <w:name w:val="日期 Char1"/>
    <w:semiHidden/>
    <w:qFormat/>
    <w:uiPriority w:val="99"/>
    <w:rPr>
      <w:rFonts w:ascii="Times New Roman" w:hAnsi="Times New Roman" w:eastAsia="宋体" w:cs="Times New Roman"/>
      <w:sz w:val="24"/>
      <w:szCs w:val="24"/>
    </w:rPr>
  </w:style>
  <w:style w:type="character" w:customStyle="1" w:styleId="266">
    <w:name w:val="日期 Char"/>
    <w:qFormat/>
    <w:uiPriority w:val="99"/>
    <w:rPr>
      <w:rFonts w:ascii="宋体" w:eastAsia="宋体"/>
      <w:sz w:val="24"/>
      <w:lang w:val="en-US" w:eastAsia="zh-CN" w:bidi="ar-SA"/>
    </w:rPr>
  </w:style>
  <w:style w:type="character" w:customStyle="1" w:styleId="267">
    <w:name w:val="段1 Char"/>
    <w:qFormat/>
    <w:uiPriority w:val="0"/>
    <w:rPr>
      <w:rFonts w:ascii="宋体" w:eastAsia="宋体"/>
      <w:sz w:val="24"/>
      <w:lang w:val="en-US" w:eastAsia="zh-CN" w:bidi="ar-SA"/>
    </w:rPr>
  </w:style>
  <w:style w:type="character" w:customStyle="1" w:styleId="268">
    <w:name w:val="Para head"/>
    <w:qFormat/>
    <w:uiPriority w:val="0"/>
    <w:rPr>
      <w:rFonts w:ascii="Arial" w:hAnsi="Arial" w:eastAsia="Times New Roman"/>
      <w:sz w:val="20"/>
    </w:rPr>
  </w:style>
  <w:style w:type="character" w:customStyle="1" w:styleId="269">
    <w:name w:val="正文文本缩进 3 Char1"/>
    <w:semiHidden/>
    <w:qFormat/>
    <w:uiPriority w:val="99"/>
    <w:rPr>
      <w:rFonts w:ascii="Times New Roman" w:hAnsi="Times New Roman" w:eastAsia="宋体" w:cs="Times New Roman"/>
      <w:sz w:val="16"/>
      <w:szCs w:val="16"/>
    </w:rPr>
  </w:style>
  <w:style w:type="character" w:customStyle="1" w:styleId="270">
    <w:name w:val="正文文本 3 Char"/>
    <w:qFormat/>
    <w:uiPriority w:val="99"/>
    <w:rPr>
      <w:rFonts w:eastAsia="宋体"/>
      <w:sz w:val="16"/>
      <w:szCs w:val="16"/>
      <w:lang w:val="en-US" w:eastAsia="zh-CN" w:bidi="ar-SA"/>
    </w:rPr>
  </w:style>
  <w:style w:type="character" w:customStyle="1" w:styleId="271">
    <w:name w:val="列出段落 字符"/>
    <w:link w:val="272"/>
    <w:qFormat/>
    <w:uiPriority w:val="0"/>
    <w:rPr>
      <w:rFonts w:ascii="Calibri" w:hAnsi="Calibri" w:eastAsia="宋体"/>
      <w:kern w:val="2"/>
      <w:sz w:val="21"/>
      <w:szCs w:val="22"/>
      <w:lang w:val="en-US" w:eastAsia="zh-CN" w:bidi="ar-SA"/>
    </w:rPr>
  </w:style>
  <w:style w:type="paragraph" w:styleId="272">
    <w:name w:val="List Paragraph"/>
    <w:basedOn w:val="1"/>
    <w:link w:val="271"/>
    <w:qFormat/>
    <w:uiPriority w:val="0"/>
    <w:pPr>
      <w:ind w:firstLine="420" w:firstLineChars="200"/>
    </w:pPr>
    <w:rPr>
      <w:rFonts w:ascii="Calibri" w:hAnsi="Calibri"/>
      <w:szCs w:val="22"/>
    </w:rPr>
  </w:style>
  <w:style w:type="character" w:customStyle="1" w:styleId="273">
    <w:name w:val="标题 8 字符1"/>
    <w:qFormat/>
    <w:locked/>
    <w:uiPriority w:val="99"/>
    <w:rPr>
      <w:rFonts w:ascii="Arial" w:hAnsi="Arial" w:eastAsia="黑体" w:cs="Times New Roman"/>
      <w:kern w:val="0"/>
      <w:sz w:val="24"/>
      <w:szCs w:val="20"/>
    </w:rPr>
  </w:style>
  <w:style w:type="character" w:customStyle="1" w:styleId="274">
    <w:name w:val="纯文本 字符"/>
    <w:qFormat/>
    <w:uiPriority w:val="99"/>
    <w:rPr>
      <w:rFonts w:ascii="宋体" w:hAnsi="Courier New" w:eastAsia="宋体" w:cs="Times New Roman"/>
      <w:kern w:val="2"/>
      <w:sz w:val="21"/>
      <w:szCs w:val="21"/>
      <w:lang w:val="en-US" w:eastAsia="zh-CN" w:bidi="ar-SA"/>
    </w:rPr>
  </w:style>
  <w:style w:type="character" w:customStyle="1" w:styleId="275">
    <w:name w:val="标题 3 字符1"/>
    <w:qFormat/>
    <w:locked/>
    <w:uiPriority w:val="99"/>
    <w:rPr>
      <w:rFonts w:ascii="Times New Roman" w:hAnsi="Times New Roman" w:eastAsia="宋体" w:cs="Times New Roman"/>
      <w:b/>
      <w:bCs/>
      <w:kern w:val="0"/>
      <w:sz w:val="32"/>
      <w:szCs w:val="32"/>
    </w:rPr>
  </w:style>
  <w:style w:type="character" w:customStyle="1" w:styleId="276">
    <w:name w:val="bjh-p"/>
    <w:qFormat/>
    <w:uiPriority w:val="0"/>
  </w:style>
  <w:style w:type="character" w:customStyle="1" w:styleId="277">
    <w:name w:val="批注文字 字符2"/>
    <w:semiHidden/>
    <w:qFormat/>
    <w:locked/>
    <w:uiPriority w:val="99"/>
    <w:rPr>
      <w:rFonts w:ascii="Times New Roman" w:hAnsi="Times New Roman" w:eastAsia="宋体" w:cs="Times New Roman"/>
      <w:sz w:val="24"/>
      <w:szCs w:val="24"/>
    </w:rPr>
  </w:style>
  <w:style w:type="character" w:customStyle="1" w:styleId="278">
    <w:name w:val="lm1"/>
    <w:qFormat/>
    <w:uiPriority w:val="0"/>
    <w:rPr>
      <w:color w:val="000000"/>
      <w:sz w:val="26"/>
      <w:szCs w:val="26"/>
      <w:u w:val="none"/>
    </w:rPr>
  </w:style>
  <w:style w:type="character" w:customStyle="1" w:styleId="279">
    <w:name w:val="正文文本 Char1"/>
    <w:qFormat/>
    <w:uiPriority w:val="0"/>
    <w:rPr>
      <w:rFonts w:ascii="Times New Roman" w:hAnsi="Times New Roman" w:eastAsia="宋体" w:cs="Times New Roman"/>
      <w:szCs w:val="24"/>
    </w:rPr>
  </w:style>
  <w:style w:type="character" w:customStyle="1" w:styleId="280">
    <w:name w:val="称呼 Char1"/>
    <w:semiHidden/>
    <w:qFormat/>
    <w:uiPriority w:val="99"/>
    <w:rPr>
      <w:kern w:val="2"/>
      <w:sz w:val="21"/>
      <w:szCs w:val="24"/>
    </w:rPr>
  </w:style>
  <w:style w:type="paragraph" w:customStyle="1" w:styleId="281">
    <w:name w:val="Char22"/>
    <w:basedOn w:val="1"/>
    <w:qFormat/>
    <w:uiPriority w:val="0"/>
    <w:rPr>
      <w:rFonts w:ascii="Tahoma" w:hAnsi="Tahoma"/>
      <w:sz w:val="24"/>
      <w:szCs w:val="20"/>
    </w:rPr>
  </w:style>
  <w:style w:type="paragraph" w:customStyle="1" w:styleId="282">
    <w:name w:val="Char3 Char Char Char1"/>
    <w:basedOn w:val="1"/>
    <w:qFormat/>
    <w:uiPriority w:val="0"/>
    <w:rPr>
      <w:rFonts w:ascii="Tahoma" w:hAnsi="Tahoma"/>
      <w:sz w:val="24"/>
      <w:szCs w:val="20"/>
    </w:rPr>
  </w:style>
  <w:style w:type="paragraph" w:customStyle="1" w:styleId="28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86">
    <w:name w:val="Char Char Char Char Char Char Char Char Char Char1"/>
    <w:basedOn w:val="1"/>
    <w:qFormat/>
    <w:uiPriority w:val="0"/>
    <w:rPr>
      <w:rFonts w:ascii="宋体" w:hAnsi="宋体" w:cs="Courier New"/>
      <w:sz w:val="32"/>
      <w:szCs w:val="32"/>
    </w:rPr>
  </w:style>
  <w:style w:type="paragraph" w:customStyle="1" w:styleId="287">
    <w:name w:val="四级条标题"/>
    <w:basedOn w:val="288"/>
    <w:next w:val="1"/>
    <w:qFormat/>
    <w:uiPriority w:val="0"/>
    <w:pPr>
      <w:numPr>
        <w:ilvl w:val="4"/>
      </w:numPr>
      <w:tabs>
        <w:tab w:val="left" w:pos="360"/>
        <w:tab w:val="left" w:pos="840"/>
      </w:tabs>
      <w:ind w:left="0" w:hanging="840"/>
      <w:outlineLvl w:val="4"/>
    </w:pPr>
  </w:style>
  <w:style w:type="paragraph" w:customStyle="1" w:styleId="288">
    <w:name w:val="三级条标题"/>
    <w:basedOn w:val="289"/>
    <w:next w:val="1"/>
    <w:qFormat/>
    <w:uiPriority w:val="0"/>
    <w:pPr>
      <w:numPr>
        <w:ilvl w:val="3"/>
        <w:numId w:val="2"/>
      </w:numPr>
      <w:tabs>
        <w:tab w:val="left" w:pos="360"/>
        <w:tab w:val="left" w:pos="840"/>
      </w:tabs>
      <w:ind w:left="0" w:hanging="840"/>
      <w:outlineLvl w:val="3"/>
    </w:pPr>
  </w:style>
  <w:style w:type="paragraph" w:customStyle="1" w:styleId="289">
    <w:name w:val="二级条标题"/>
    <w:basedOn w:val="290"/>
    <w:next w:val="1"/>
    <w:link w:val="294"/>
    <w:qFormat/>
    <w:uiPriority w:val="0"/>
    <w:pPr>
      <w:numPr>
        <w:ilvl w:val="0"/>
        <w:numId w:val="0"/>
      </w:numPr>
      <w:tabs>
        <w:tab w:val="left" w:pos="360"/>
        <w:tab w:val="left" w:pos="840"/>
      </w:tabs>
      <w:ind w:hanging="840"/>
      <w:outlineLvl w:val="2"/>
    </w:pPr>
    <w:rPr>
      <w:rFonts w:ascii="宋体" w:eastAsia="宋体"/>
      <w:b w:val="0"/>
    </w:rPr>
  </w:style>
  <w:style w:type="paragraph" w:customStyle="1" w:styleId="290">
    <w:name w:val="一级条标题"/>
    <w:basedOn w:val="291"/>
    <w:next w:val="1"/>
    <w:link w:val="293"/>
    <w:qFormat/>
    <w:uiPriority w:val="0"/>
    <w:pPr>
      <w:numPr>
        <w:ilvl w:val="1"/>
      </w:numPr>
      <w:tabs>
        <w:tab w:val="left" w:pos="360"/>
        <w:tab w:val="left" w:pos="840"/>
      </w:tabs>
      <w:ind w:left="0" w:hanging="840"/>
      <w:outlineLvl w:val="1"/>
    </w:pPr>
  </w:style>
  <w:style w:type="paragraph" w:customStyle="1" w:styleId="291">
    <w:name w:val="章标题"/>
    <w:next w:val="1"/>
    <w:link w:val="292"/>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character" w:customStyle="1" w:styleId="292">
    <w:name w:val="章标题 Char"/>
    <w:link w:val="291"/>
    <w:qFormat/>
    <w:uiPriority w:val="0"/>
    <w:rPr>
      <w:rFonts w:ascii="黑体" w:eastAsia="黑体"/>
      <w:b/>
      <w:sz w:val="28"/>
      <w:lang w:bidi="ar-SA"/>
    </w:rPr>
  </w:style>
  <w:style w:type="character" w:customStyle="1" w:styleId="293">
    <w:name w:val="一级条标题 Char"/>
    <w:link w:val="290"/>
    <w:qFormat/>
    <w:uiPriority w:val="0"/>
    <w:rPr>
      <w:rFonts w:ascii="黑体" w:eastAsia="黑体"/>
      <w:b/>
      <w:sz w:val="28"/>
    </w:rPr>
  </w:style>
  <w:style w:type="character" w:customStyle="1" w:styleId="294">
    <w:name w:val="二级条标题 Char"/>
    <w:link w:val="289"/>
    <w:qFormat/>
    <w:uiPriority w:val="0"/>
    <w:rPr>
      <w:rFonts w:ascii="宋体"/>
      <w:sz w:val="28"/>
    </w:rPr>
  </w:style>
  <w:style w:type="paragraph" w:customStyle="1" w:styleId="29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96">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项目符号1"/>
    <w:basedOn w:val="298"/>
    <w:qFormat/>
    <w:uiPriority w:val="0"/>
    <w:pPr>
      <w:ind w:left="-25" w:firstLine="0"/>
    </w:pPr>
  </w:style>
  <w:style w:type="paragraph" w:customStyle="1" w:styleId="298">
    <w:name w:val="正文文本样式"/>
    <w:basedOn w:val="1"/>
    <w:qFormat/>
    <w:uiPriority w:val="0"/>
    <w:pPr>
      <w:spacing w:line="360" w:lineRule="auto"/>
      <w:ind w:firstLine="482"/>
    </w:pPr>
    <w:rPr>
      <w:rFonts w:cs="宋体"/>
      <w:sz w:val="24"/>
      <w:szCs w:val="20"/>
    </w:rPr>
  </w:style>
  <w:style w:type="paragraph" w:customStyle="1" w:styleId="299">
    <w:name w:val="Char Char Char Char Char Char Char Char Char Char Char Char Char"/>
    <w:basedOn w:val="1"/>
    <w:qFormat/>
    <w:uiPriority w:val="0"/>
    <w:rPr>
      <w:rFonts w:ascii="仿宋_GB2312" w:eastAsia="仿宋_GB2312"/>
      <w:b/>
      <w:sz w:val="32"/>
      <w:szCs w:val="32"/>
    </w:rPr>
  </w:style>
  <w:style w:type="paragraph" w:customStyle="1" w:styleId="300">
    <w:name w:val="修订1"/>
    <w:qFormat/>
    <w:uiPriority w:val="0"/>
    <w:rPr>
      <w:rFonts w:ascii="Times New Roman" w:hAnsi="Times New Roman" w:eastAsia="宋体" w:cs="Times New Roman"/>
      <w:kern w:val="2"/>
      <w:sz w:val="21"/>
      <w:szCs w:val="24"/>
      <w:lang w:val="en-US" w:eastAsia="zh-CN" w:bidi="ar-SA"/>
    </w:rPr>
  </w:style>
  <w:style w:type="paragraph" w:customStyle="1" w:styleId="301">
    <w:name w:val="Char Char4"/>
    <w:basedOn w:val="1"/>
    <w:qFormat/>
    <w:uiPriority w:val="0"/>
    <w:pPr>
      <w:widowControl/>
      <w:spacing w:line="400" w:lineRule="exact"/>
      <w:jc w:val="center"/>
    </w:pPr>
  </w:style>
  <w:style w:type="paragraph" w:customStyle="1" w:styleId="302">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303">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纯文本1"/>
    <w:basedOn w:val="1"/>
    <w:qFormat/>
    <w:uiPriority w:val="0"/>
    <w:rPr>
      <w:rFonts w:ascii="宋体" w:hAnsi="Courier New" w:cs="宋体"/>
      <w:szCs w:val="21"/>
    </w:rPr>
  </w:style>
  <w:style w:type="paragraph" w:customStyle="1" w:styleId="305">
    <w:name w:val="表格文字"/>
    <w:basedOn w:val="30"/>
    <w:qFormat/>
    <w:uiPriority w:val="0"/>
    <w:pPr>
      <w:spacing w:before="20" w:after="20" w:line="240" w:lineRule="auto"/>
      <w:ind w:firstLine="0"/>
    </w:pPr>
    <w:rPr>
      <w:rFonts w:ascii="Century Gothic" w:hAnsi="Century Gothic"/>
      <w:sz w:val="20"/>
      <w:szCs w:val="20"/>
    </w:rPr>
  </w:style>
  <w:style w:type="paragraph" w:customStyle="1" w:styleId="306">
    <w:name w:val="Char"/>
    <w:basedOn w:val="1"/>
    <w:qFormat/>
    <w:uiPriority w:val="0"/>
    <w:pPr>
      <w:tabs>
        <w:tab w:val="left" w:pos="360"/>
      </w:tabs>
    </w:pPr>
    <w:rPr>
      <w:sz w:val="24"/>
    </w:rPr>
  </w:style>
  <w:style w:type="paragraph" w:customStyle="1" w:styleId="3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08">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309">
    <w:name w:val="Char Char Char"/>
    <w:basedOn w:val="1"/>
    <w:qFormat/>
    <w:uiPriority w:val="0"/>
    <w:rPr>
      <w:rFonts w:ascii="Tahoma" w:hAnsi="Tahoma"/>
      <w:sz w:val="24"/>
      <w:szCs w:val="20"/>
    </w:rPr>
  </w:style>
  <w:style w:type="paragraph" w:customStyle="1" w:styleId="31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311">
    <w:name w:val="样式2"/>
    <w:basedOn w:val="62"/>
    <w:qFormat/>
    <w:uiPriority w:val="0"/>
    <w:pPr>
      <w:spacing w:line="360" w:lineRule="auto"/>
      <w:jc w:val="center"/>
    </w:pPr>
    <w:rPr>
      <w:sz w:val="24"/>
    </w:rPr>
  </w:style>
  <w:style w:type="paragraph" w:customStyle="1" w:styleId="312">
    <w:name w:val="Char2"/>
    <w:basedOn w:val="1"/>
    <w:qFormat/>
    <w:uiPriority w:val="0"/>
    <w:rPr>
      <w:rFonts w:ascii="Tahoma" w:hAnsi="Tahoma"/>
      <w:sz w:val="24"/>
      <w:szCs w:val="20"/>
    </w:rPr>
  </w:style>
  <w:style w:type="paragraph" w:customStyle="1" w:styleId="313">
    <w:name w:val="2"/>
    <w:basedOn w:val="1"/>
    <w:next w:val="30"/>
    <w:qFormat/>
    <w:uiPriority w:val="0"/>
    <w:pPr>
      <w:ind w:left="432"/>
    </w:pPr>
    <w:rPr>
      <w:szCs w:val="20"/>
    </w:rPr>
  </w:style>
  <w:style w:type="paragraph" w:customStyle="1" w:styleId="314">
    <w:name w:val="Char Char Char1"/>
    <w:basedOn w:val="1"/>
    <w:qFormat/>
    <w:uiPriority w:val="0"/>
    <w:rPr>
      <w:rFonts w:ascii="Tahoma" w:hAnsi="Tahoma"/>
      <w:sz w:val="24"/>
      <w:szCs w:val="20"/>
    </w:rPr>
  </w:style>
  <w:style w:type="paragraph" w:customStyle="1" w:styleId="315">
    <w:name w:val="Char Char Char1 Char"/>
    <w:basedOn w:val="1"/>
    <w:qFormat/>
    <w:uiPriority w:val="0"/>
    <w:rPr>
      <w:rFonts w:ascii="Tahoma" w:hAnsi="Tahoma"/>
      <w:sz w:val="24"/>
      <w:szCs w:val="20"/>
    </w:rPr>
  </w:style>
  <w:style w:type="paragraph" w:customStyle="1" w:styleId="316">
    <w:name w:val="Normal_0"/>
    <w:qFormat/>
    <w:uiPriority w:val="0"/>
    <w:pPr>
      <w:spacing w:before="120" w:after="240"/>
      <w:jc w:val="both"/>
    </w:pPr>
    <w:rPr>
      <w:rFonts w:ascii="Calibri" w:hAnsi="Calibri" w:eastAsia="宋体" w:cs="Times New Roman"/>
      <w:sz w:val="22"/>
      <w:szCs w:val="22"/>
      <w:lang w:val="ru-RU" w:eastAsia="en-US" w:bidi="ar-SA"/>
    </w:rPr>
  </w:style>
  <w:style w:type="paragraph" w:customStyle="1" w:styleId="317">
    <w:name w:val="表格"/>
    <w:basedOn w:val="1"/>
    <w:link w:val="318"/>
    <w:qFormat/>
    <w:uiPriority w:val="0"/>
    <w:pPr>
      <w:jc w:val="center"/>
      <w:textAlignment w:val="center"/>
    </w:pPr>
    <w:rPr>
      <w:rFonts w:ascii="华文细黑" w:hAnsi="华文细黑"/>
      <w:kern w:val="0"/>
      <w:szCs w:val="20"/>
    </w:rPr>
  </w:style>
  <w:style w:type="character" w:customStyle="1" w:styleId="318">
    <w:name w:val="表格 字符"/>
    <w:link w:val="317"/>
    <w:qFormat/>
    <w:locked/>
    <w:uiPriority w:val="0"/>
    <w:rPr>
      <w:rFonts w:ascii="华文细黑" w:hAnsi="华文细黑"/>
      <w:sz w:val="21"/>
    </w:rPr>
  </w:style>
  <w:style w:type="paragraph" w:customStyle="1" w:styleId="319">
    <w:name w:val="菲页(卷)"/>
    <w:basedOn w:val="3"/>
    <w:next w:val="320"/>
    <w:qFormat/>
    <w:uiPriority w:val="0"/>
    <w:pPr>
      <w:keepLines w:val="0"/>
      <w:widowControl/>
      <w:tabs>
        <w:tab w:val="left" w:pos="432"/>
      </w:tabs>
      <w:autoSpaceDE/>
      <w:autoSpaceDN/>
      <w:adjustRightInd/>
      <w:spacing w:before="0" w:after="0" w:line="240" w:lineRule="auto"/>
      <w:ind w:left="432" w:hanging="432"/>
      <w:outlineLvl w:val="1"/>
    </w:pPr>
    <w:rPr>
      <w:rFonts w:ascii="黑体" w:eastAsia="黑体"/>
      <w:b w:val="0"/>
      <w:kern w:val="0"/>
      <w:sz w:val="52"/>
    </w:rPr>
  </w:style>
  <w:style w:type="paragraph" w:customStyle="1" w:styleId="32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1">
    <w:name w:val="Char Char Char Char Char Char Char Char Char Char2"/>
    <w:basedOn w:val="1"/>
    <w:qFormat/>
    <w:uiPriority w:val="0"/>
    <w:rPr>
      <w:rFonts w:ascii="宋体" w:hAnsi="宋体" w:cs="Courier New"/>
      <w:sz w:val="32"/>
      <w:szCs w:val="32"/>
    </w:rPr>
  </w:style>
  <w:style w:type="paragraph" w:customStyle="1" w:styleId="3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323">
    <w:name w:val="表格文字（大）"/>
    <w:basedOn w:val="1"/>
    <w:qFormat/>
    <w:uiPriority w:val="0"/>
    <w:pPr>
      <w:spacing w:before="20" w:after="20"/>
    </w:pPr>
    <w:rPr>
      <w:rFonts w:ascii="Century Gothic" w:hAnsi="Century Gothic"/>
      <w:sz w:val="24"/>
      <w:szCs w:val="20"/>
    </w:rPr>
  </w:style>
  <w:style w:type="paragraph" w:customStyle="1" w:styleId="324">
    <w:name w:val="标题1-附件"/>
    <w:basedOn w:val="3"/>
    <w:qFormat/>
    <w:uiPriority w:val="0"/>
    <w:pPr>
      <w:jc w:val="left"/>
    </w:pPr>
    <w:rPr>
      <w:sz w:val="24"/>
      <w:szCs w:val="24"/>
    </w:rPr>
  </w:style>
  <w:style w:type="paragraph" w:customStyle="1" w:styleId="325">
    <w:name w:val="缺省文本"/>
    <w:basedOn w:val="1"/>
    <w:qFormat/>
    <w:uiPriority w:val="0"/>
    <w:pPr>
      <w:autoSpaceDE w:val="0"/>
      <w:autoSpaceDN w:val="0"/>
      <w:adjustRightInd w:val="0"/>
      <w:jc w:val="left"/>
    </w:pPr>
    <w:rPr>
      <w:kern w:val="0"/>
      <w:sz w:val="24"/>
    </w:rPr>
  </w:style>
  <w:style w:type="paragraph" w:customStyle="1" w:styleId="32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327">
    <w:name w:val="Char Char Char2"/>
    <w:basedOn w:val="1"/>
    <w:qFormat/>
    <w:uiPriority w:val="0"/>
    <w:rPr>
      <w:rFonts w:ascii="Tahoma" w:hAnsi="Tahoma"/>
      <w:sz w:val="24"/>
      <w:szCs w:val="20"/>
    </w:rPr>
  </w:style>
  <w:style w:type="paragraph" w:customStyle="1" w:styleId="32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329">
    <w:name w:val="p17"/>
    <w:basedOn w:val="1"/>
    <w:qFormat/>
    <w:uiPriority w:val="0"/>
    <w:pPr>
      <w:widowControl/>
    </w:pPr>
    <w:rPr>
      <w:kern w:val="0"/>
      <w:szCs w:val="21"/>
    </w:rPr>
  </w:style>
  <w:style w:type="paragraph" w:customStyle="1" w:styleId="330">
    <w:name w:val="Char3 Char Char Char2"/>
    <w:basedOn w:val="1"/>
    <w:qFormat/>
    <w:uiPriority w:val="0"/>
    <w:rPr>
      <w:rFonts w:ascii="Tahoma" w:hAnsi="Tahoma"/>
      <w:sz w:val="24"/>
      <w:szCs w:val="20"/>
    </w:rPr>
  </w:style>
  <w:style w:type="paragraph" w:customStyle="1" w:styleId="331">
    <w:name w:val="修订11"/>
    <w:qFormat/>
    <w:uiPriority w:val="99"/>
    <w:rPr>
      <w:rFonts w:ascii="Times New Roman" w:hAnsi="Times New Roman" w:eastAsia="宋体" w:cs="Times New Roman"/>
      <w:kern w:val="2"/>
      <w:sz w:val="21"/>
      <w:szCs w:val="24"/>
      <w:lang w:val="en-US" w:eastAsia="zh-CN" w:bidi="ar-SA"/>
    </w:rPr>
  </w:style>
  <w:style w:type="paragraph" w:customStyle="1" w:styleId="332">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3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34">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335">
    <w:name w:val="菲页2"/>
    <w:basedOn w:val="6"/>
    <w:qFormat/>
    <w:uiPriority w:val="0"/>
    <w:pPr>
      <w:widowControl/>
      <w:tabs>
        <w:tab w:val="left" w:pos="720"/>
      </w:tabs>
      <w:autoSpaceDE/>
      <w:autoSpaceDN/>
      <w:adjustRightInd/>
      <w:spacing w:before="120" w:line="360" w:lineRule="auto"/>
      <w:ind w:left="720" w:hanging="720"/>
      <w:jc w:val="center"/>
    </w:pPr>
    <w:rPr>
      <w:rFonts w:ascii="黑体" w:hAnsi="宋体" w:eastAsia="黑体"/>
      <w:b w:val="0"/>
      <w:sz w:val="44"/>
      <w:u w:val="none"/>
    </w:rPr>
  </w:style>
  <w:style w:type="paragraph" w:customStyle="1" w:styleId="336">
    <w:name w:val="3"/>
    <w:basedOn w:val="1"/>
    <w:next w:val="27"/>
    <w:qFormat/>
    <w:uiPriority w:val="0"/>
    <w:rPr>
      <w:rFonts w:ascii="宋体"/>
      <w:sz w:val="24"/>
      <w:szCs w:val="20"/>
    </w:rPr>
  </w:style>
  <w:style w:type="paragraph" w:customStyle="1" w:styleId="337">
    <w:name w:val="默认段落字体 Para Char Char Char Char"/>
    <w:basedOn w:val="1"/>
    <w:qFormat/>
    <w:uiPriority w:val="0"/>
    <w:rPr>
      <w:rFonts w:ascii="Arial" w:hAnsi="Arial" w:cs="Arial"/>
      <w:szCs w:val="21"/>
    </w:rPr>
  </w:style>
  <w:style w:type="paragraph" w:customStyle="1" w:styleId="33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339">
    <w:name w:val="加点"/>
    <w:basedOn w:val="1"/>
    <w:qFormat/>
    <w:uiPriority w:val="0"/>
    <w:pPr>
      <w:spacing w:line="360" w:lineRule="auto"/>
    </w:pPr>
    <w:rPr>
      <w:rFonts w:eastAsia="楷体_GB2312"/>
      <w:sz w:val="24"/>
      <w:szCs w:val="20"/>
    </w:rPr>
  </w:style>
  <w:style w:type="paragraph" w:customStyle="1" w:styleId="340">
    <w:name w:val="Char1"/>
    <w:basedOn w:val="1"/>
    <w:qFormat/>
    <w:uiPriority w:val="0"/>
    <w:pPr>
      <w:tabs>
        <w:tab w:val="left" w:pos="360"/>
      </w:tabs>
    </w:pPr>
    <w:rPr>
      <w:sz w:val="24"/>
    </w:rPr>
  </w:style>
  <w:style w:type="paragraph" w:customStyle="1" w:styleId="34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342">
    <w:name w:val="项目编号2"/>
    <w:basedOn w:val="343"/>
    <w:qFormat/>
    <w:uiPriority w:val="0"/>
    <w:pPr>
      <w:numPr>
        <w:numId w:val="3"/>
      </w:numPr>
    </w:pPr>
  </w:style>
  <w:style w:type="paragraph" w:customStyle="1" w:styleId="343">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344">
    <w:name w:val="_Style 343"/>
    <w:basedOn w:val="3"/>
    <w:next w:val="1"/>
    <w:qFormat/>
    <w:uiPriority w:val="99"/>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34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346">
    <w:name w:val="列出段落2"/>
    <w:basedOn w:val="1"/>
    <w:qFormat/>
    <w:uiPriority w:val="0"/>
    <w:pPr>
      <w:ind w:firstLine="420" w:firstLineChars="200"/>
    </w:pPr>
    <w:rPr>
      <w:rFonts w:ascii="Calibri" w:hAnsi="Calibri"/>
      <w:szCs w:val="22"/>
    </w:rPr>
  </w:style>
  <w:style w:type="paragraph" w:customStyle="1" w:styleId="347">
    <w:name w:val="项目编号3"/>
    <w:basedOn w:val="298"/>
    <w:qFormat/>
    <w:uiPriority w:val="0"/>
    <w:pPr>
      <w:numPr>
        <w:ilvl w:val="0"/>
        <w:numId w:val="5"/>
      </w:numPr>
    </w:pPr>
  </w:style>
  <w:style w:type="paragraph" w:customStyle="1" w:styleId="348">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349">
    <w:name w:val="正文须知-2级"/>
    <w:basedOn w:val="1"/>
    <w:qFormat/>
    <w:uiPriority w:val="0"/>
    <w:pPr>
      <w:numPr>
        <w:ilvl w:val="1"/>
        <w:numId w:val="6"/>
      </w:numPr>
      <w:adjustRightInd w:val="0"/>
      <w:snapToGrid w:val="0"/>
      <w:spacing w:line="300" w:lineRule="auto"/>
    </w:pPr>
    <w:rPr>
      <w:rFonts w:ascii="宋体" w:hAnsi="Calibri"/>
      <w:sz w:val="24"/>
      <w:szCs w:val="21"/>
    </w:rPr>
  </w:style>
  <w:style w:type="paragraph" w:customStyle="1" w:styleId="3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351">
    <w:name w:val="样式 标题 1 + 黑体 三号 非加粗 居中 段前: 6 磅 段后: 6 磅 行距: 固定值 20 磅"/>
    <w:basedOn w:val="3"/>
    <w:qFormat/>
    <w:uiPriority w:val="0"/>
    <w:pPr>
      <w:autoSpaceDE/>
      <w:autoSpaceDN/>
      <w:adjustRightInd/>
      <w:spacing w:before="120" w:line="400" w:lineRule="exact"/>
    </w:pPr>
    <w:rPr>
      <w:rFonts w:ascii="黑体" w:hAnsi="黑体" w:eastAsia="黑体" w:cs="宋体"/>
      <w:b w:val="0"/>
    </w:rPr>
  </w:style>
  <w:style w:type="paragraph" w:customStyle="1" w:styleId="352">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353">
    <w:name w:val="Char Char Char Char Char Char Char Char Char Char Char Char Char1"/>
    <w:basedOn w:val="1"/>
    <w:qFormat/>
    <w:uiPriority w:val="0"/>
    <w:rPr>
      <w:rFonts w:ascii="仿宋_GB2312" w:eastAsia="仿宋_GB2312"/>
      <w:b/>
      <w:sz w:val="32"/>
      <w:szCs w:val="32"/>
    </w:rPr>
  </w:style>
  <w:style w:type="paragraph" w:customStyle="1" w:styleId="35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3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356">
    <w:name w:val="font8"/>
    <w:basedOn w:val="1"/>
    <w:qFormat/>
    <w:uiPriority w:val="0"/>
    <w:pPr>
      <w:widowControl/>
      <w:spacing w:before="100" w:beforeAutospacing="1" w:after="100" w:afterAutospacing="1"/>
      <w:jc w:val="left"/>
    </w:pPr>
    <w:rPr>
      <w:kern w:val="0"/>
      <w:sz w:val="36"/>
      <w:szCs w:val="36"/>
    </w:rPr>
  </w:style>
  <w:style w:type="paragraph" w:customStyle="1" w:styleId="35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358">
    <w:name w:val="列出段落1"/>
    <w:basedOn w:val="1"/>
    <w:qFormat/>
    <w:uiPriority w:val="34"/>
    <w:pPr>
      <w:ind w:firstLine="420" w:firstLineChars="200"/>
    </w:pPr>
    <w:rPr>
      <w:rFonts w:ascii="Calibri" w:hAnsi="Calibri"/>
      <w:szCs w:val="22"/>
    </w:rPr>
  </w:style>
  <w:style w:type="paragraph" w:customStyle="1" w:styleId="359">
    <w:name w:val="五级条标题"/>
    <w:basedOn w:val="287"/>
    <w:next w:val="1"/>
    <w:link w:val="360"/>
    <w:qFormat/>
    <w:uiPriority w:val="0"/>
    <w:pPr>
      <w:numPr>
        <w:ilvl w:val="5"/>
      </w:numPr>
      <w:ind w:left="0" w:hanging="840"/>
      <w:outlineLvl w:val="5"/>
    </w:pPr>
  </w:style>
  <w:style w:type="character" w:customStyle="1" w:styleId="360">
    <w:name w:val="五级条标题 Char"/>
    <w:link w:val="359"/>
    <w:qFormat/>
    <w:uiPriority w:val="0"/>
    <w:rPr>
      <w:rFonts w:ascii="宋体"/>
      <w:sz w:val="28"/>
    </w:rPr>
  </w:style>
  <w:style w:type="paragraph" w:customStyle="1" w:styleId="36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36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63">
    <w:name w:val="_Style 362"/>
    <w:unhideWhenUsed/>
    <w:qFormat/>
    <w:uiPriority w:val="99"/>
    <w:rPr>
      <w:rFonts w:ascii="Times New Roman" w:hAnsi="Times New Roman" w:eastAsia="宋体" w:cs="Times New Roman"/>
      <w:kern w:val="2"/>
      <w:sz w:val="21"/>
      <w:szCs w:val="24"/>
      <w:lang w:val="en-US" w:eastAsia="zh-CN" w:bidi="ar-SA"/>
    </w:rPr>
  </w:style>
  <w:style w:type="paragraph" w:customStyle="1" w:styleId="364">
    <w:name w:val="Char3"/>
    <w:basedOn w:val="1"/>
    <w:qFormat/>
    <w:uiPriority w:val="0"/>
    <w:pPr>
      <w:tabs>
        <w:tab w:val="left" w:pos="360"/>
      </w:tabs>
    </w:pPr>
    <w:rPr>
      <w:sz w:val="24"/>
    </w:rPr>
  </w:style>
  <w:style w:type="paragraph" w:customStyle="1" w:styleId="365">
    <w:name w:val="Char Char Char Char2"/>
    <w:basedOn w:val="1"/>
    <w:qFormat/>
    <w:uiPriority w:val="99"/>
    <w:pPr>
      <w:widowControl/>
      <w:spacing w:after="160" w:line="240" w:lineRule="exact"/>
      <w:jc w:val="left"/>
    </w:pPr>
    <w:rPr>
      <w:szCs w:val="20"/>
    </w:rPr>
  </w:style>
  <w:style w:type="paragraph" w:customStyle="1" w:styleId="366">
    <w:name w:val="金安桥正文"/>
    <w:basedOn w:val="30"/>
    <w:qFormat/>
    <w:uiPriority w:val="0"/>
    <w:pPr>
      <w:adjustRightInd w:val="0"/>
      <w:spacing w:line="300" w:lineRule="auto"/>
      <w:ind w:firstLine="200" w:firstLineChars="200"/>
      <w:jc w:val="left"/>
    </w:pPr>
    <w:rPr>
      <w:kern w:val="0"/>
      <w:szCs w:val="20"/>
    </w:rPr>
  </w:style>
  <w:style w:type="paragraph" w:customStyle="1" w:styleId="367">
    <w:name w:val="正文须知-3级"/>
    <w:basedOn w:val="1"/>
    <w:qFormat/>
    <w:uiPriority w:val="0"/>
    <w:pPr>
      <w:numPr>
        <w:ilvl w:val="2"/>
        <w:numId w:val="6"/>
      </w:numPr>
      <w:adjustRightInd w:val="0"/>
      <w:snapToGrid w:val="0"/>
      <w:spacing w:line="300" w:lineRule="auto"/>
      <w:ind w:hanging="355" w:hangingChars="355"/>
    </w:pPr>
    <w:rPr>
      <w:rFonts w:ascii="宋体" w:hAnsi="Calibri"/>
      <w:sz w:val="24"/>
      <w:szCs w:val="21"/>
    </w:rPr>
  </w:style>
  <w:style w:type="paragraph" w:customStyle="1" w:styleId="368">
    <w:name w:val="样式4"/>
    <w:basedOn w:val="1"/>
    <w:qFormat/>
    <w:uiPriority w:val="0"/>
    <w:pPr>
      <w:jc w:val="center"/>
      <w:outlineLvl w:val="0"/>
    </w:pPr>
    <w:rPr>
      <w:b/>
      <w:bCs/>
      <w:sz w:val="32"/>
      <w:szCs w:val="32"/>
    </w:rPr>
  </w:style>
  <w:style w:type="paragraph" w:customStyle="1" w:styleId="369">
    <w:name w:val="黑列表"/>
    <w:basedOn w:val="1"/>
    <w:qFormat/>
    <w:uiPriority w:val="0"/>
    <w:pPr>
      <w:widowControl/>
      <w:tabs>
        <w:tab w:val="left" w:pos="482"/>
        <w:tab w:val="left" w:pos="960"/>
      </w:tabs>
      <w:adjustRightInd w:val="0"/>
      <w:spacing w:line="300" w:lineRule="auto"/>
      <w:ind w:left="840" w:hanging="240"/>
      <w:jc w:val="left"/>
    </w:pPr>
    <w:rPr>
      <w:kern w:val="0"/>
      <w:sz w:val="24"/>
      <w:szCs w:val="20"/>
    </w:rPr>
  </w:style>
  <w:style w:type="paragraph" w:customStyle="1" w:styleId="37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371">
    <w:name w:val="目录文字"/>
    <w:basedOn w:val="1"/>
    <w:qFormat/>
    <w:uiPriority w:val="0"/>
    <w:pPr>
      <w:widowControl/>
      <w:spacing w:line="480" w:lineRule="auto"/>
      <w:jc w:val="left"/>
    </w:pPr>
    <w:rPr>
      <w:rFonts w:ascii="宋体" w:hAnsi="宋体"/>
      <w:kern w:val="0"/>
      <w:sz w:val="24"/>
      <w:szCs w:val="20"/>
    </w:rPr>
  </w:style>
  <w:style w:type="paragraph" w:customStyle="1" w:styleId="3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373">
    <w:name w:val="List Paragraph1"/>
    <w:basedOn w:val="1"/>
    <w:qFormat/>
    <w:uiPriority w:val="99"/>
    <w:pPr>
      <w:ind w:firstLine="420" w:firstLineChars="200"/>
    </w:pPr>
    <w:rPr>
      <w:rFonts w:ascii="Calibri" w:hAnsi="Calibri"/>
      <w:szCs w:val="22"/>
    </w:rPr>
  </w:style>
  <w:style w:type="paragraph" w:customStyle="1" w:styleId="374">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376">
    <w:name w:val="文档正文"/>
    <w:basedOn w:val="1"/>
    <w:qFormat/>
    <w:uiPriority w:val="0"/>
    <w:pPr>
      <w:snapToGrid w:val="0"/>
      <w:spacing w:before="120" w:after="120" w:line="180" w:lineRule="auto"/>
    </w:pPr>
    <w:rPr>
      <w:rFonts w:ascii="Arial" w:hAnsi="Arial"/>
      <w:szCs w:val="20"/>
    </w:rPr>
  </w:style>
  <w:style w:type="paragraph" w:customStyle="1" w:styleId="377">
    <w:name w:val="Char Char Char1 Char1"/>
    <w:basedOn w:val="1"/>
    <w:qFormat/>
    <w:uiPriority w:val="0"/>
    <w:rPr>
      <w:rFonts w:ascii="Tahoma" w:hAnsi="Tahoma"/>
      <w:sz w:val="24"/>
      <w:szCs w:val="20"/>
    </w:rPr>
  </w:style>
  <w:style w:type="paragraph" w:customStyle="1" w:styleId="37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37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0">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TOC 标题1"/>
    <w:basedOn w:val="3"/>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382">
    <w:name w:val="正文 + 楷体_GB2312"/>
    <w:basedOn w:val="1"/>
    <w:qFormat/>
    <w:uiPriority w:val="0"/>
    <w:pPr>
      <w:widowControl/>
      <w:jc w:val="left"/>
    </w:pPr>
    <w:rPr>
      <w:rFonts w:ascii="楷体_GB2312" w:eastAsia="楷体_GB2312" w:cs="Arial"/>
      <w:kern w:val="0"/>
      <w:sz w:val="24"/>
    </w:rPr>
  </w:style>
  <w:style w:type="paragraph" w:customStyle="1" w:styleId="383">
    <w:name w:val="菲页1"/>
    <w:basedOn w:val="4"/>
    <w:qFormat/>
    <w:uiPriority w:val="0"/>
    <w:pPr>
      <w:widowControl/>
      <w:autoSpaceDE/>
      <w:autoSpaceDN/>
      <w:adjustRightInd/>
      <w:spacing w:before="260" w:after="260" w:line="416" w:lineRule="auto"/>
      <w:jc w:val="both"/>
    </w:pPr>
    <w:rPr>
      <w:rFonts w:ascii="黑体" w:hAnsi="宋体" w:eastAsia="宋体"/>
      <w:b w:val="0"/>
      <w:kern w:val="15"/>
      <w:sz w:val="52"/>
    </w:rPr>
  </w:style>
  <w:style w:type="paragraph" w:customStyle="1" w:styleId="38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3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387">
    <w:name w:val="Char12"/>
    <w:basedOn w:val="1"/>
    <w:qFormat/>
    <w:uiPriority w:val="99"/>
    <w:rPr>
      <w:rFonts w:ascii="Tahoma" w:hAnsi="Tahoma"/>
      <w:sz w:val="24"/>
      <w:szCs w:val="20"/>
    </w:rPr>
  </w:style>
  <w:style w:type="paragraph" w:customStyle="1" w:styleId="3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89">
    <w:name w:val="目录"/>
    <w:basedOn w:val="1"/>
    <w:qFormat/>
    <w:uiPriority w:val="0"/>
    <w:pPr>
      <w:widowControl/>
      <w:jc w:val="center"/>
    </w:pPr>
    <w:rPr>
      <w:rFonts w:ascii="宋体"/>
      <w:b/>
      <w:kern w:val="0"/>
      <w:sz w:val="36"/>
      <w:szCs w:val="20"/>
    </w:rPr>
  </w:style>
  <w:style w:type="paragraph" w:customStyle="1" w:styleId="390">
    <w:name w:val="样式3"/>
    <w:basedOn w:val="1"/>
    <w:qFormat/>
    <w:uiPriority w:val="0"/>
    <w:pPr>
      <w:spacing w:line="300" w:lineRule="auto"/>
    </w:pPr>
    <w:rPr>
      <w:rFonts w:ascii="宋体" w:cs="宋体"/>
      <w:sz w:val="24"/>
    </w:rPr>
  </w:style>
  <w:style w:type="paragraph" w:customStyle="1" w:styleId="391">
    <w:name w:val="图文"/>
    <w:basedOn w:val="1"/>
    <w:qFormat/>
    <w:uiPriority w:val="0"/>
    <w:pPr>
      <w:adjustRightInd w:val="0"/>
      <w:snapToGrid w:val="0"/>
      <w:spacing w:after="50" w:line="360" w:lineRule="auto"/>
    </w:pPr>
    <w:rPr>
      <w:sz w:val="24"/>
    </w:rPr>
  </w:style>
  <w:style w:type="paragraph" w:customStyle="1" w:styleId="392">
    <w:name w:val="图中文字"/>
    <w:basedOn w:val="1"/>
    <w:qFormat/>
    <w:uiPriority w:val="0"/>
    <w:pPr>
      <w:adjustRightInd w:val="0"/>
      <w:snapToGrid w:val="0"/>
      <w:spacing w:line="0" w:lineRule="atLeast"/>
      <w:jc w:val="center"/>
    </w:pPr>
    <w:rPr>
      <w:sz w:val="24"/>
      <w:szCs w:val="20"/>
    </w:rPr>
  </w:style>
  <w:style w:type="paragraph" w:customStyle="1" w:styleId="393">
    <w:name w:val="XW正文"/>
    <w:basedOn w:val="30"/>
    <w:qFormat/>
    <w:uiPriority w:val="0"/>
    <w:pPr>
      <w:adjustRightInd w:val="0"/>
      <w:snapToGrid w:val="0"/>
      <w:spacing w:line="300" w:lineRule="auto"/>
      <w:ind w:firstLine="520" w:firstLineChars="200"/>
      <w:jc w:val="left"/>
    </w:pPr>
    <w:rPr>
      <w:kern w:val="0"/>
      <w:sz w:val="21"/>
    </w:rPr>
  </w:style>
  <w:style w:type="paragraph" w:customStyle="1" w:styleId="394">
    <w:name w:val="正文须知-1级"/>
    <w:basedOn w:val="1"/>
    <w:next w:val="1"/>
    <w:qFormat/>
    <w:uiPriority w:val="0"/>
    <w:pPr>
      <w:numPr>
        <w:ilvl w:val="0"/>
        <w:numId w:val="6"/>
      </w:numPr>
      <w:adjustRightInd w:val="0"/>
      <w:snapToGrid w:val="0"/>
      <w:spacing w:line="300" w:lineRule="auto"/>
    </w:pPr>
    <w:rPr>
      <w:rFonts w:ascii="宋体" w:hAnsi="Calibri"/>
      <w:sz w:val="24"/>
      <w:szCs w:val="21"/>
    </w:rPr>
  </w:style>
  <w:style w:type="paragraph" w:customStyle="1" w:styleId="39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39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9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398">
    <w:name w:val="Char11"/>
    <w:basedOn w:val="1"/>
    <w:qFormat/>
    <w:uiPriority w:val="99"/>
    <w:rPr>
      <w:rFonts w:ascii="Tahoma" w:hAnsi="Tahoma"/>
      <w:sz w:val="24"/>
      <w:szCs w:val="20"/>
    </w:rPr>
  </w:style>
  <w:style w:type="paragraph" w:customStyle="1" w:styleId="399">
    <w:name w:val="表格1"/>
    <w:basedOn w:val="1"/>
    <w:qFormat/>
    <w:uiPriority w:val="0"/>
    <w:pPr>
      <w:ind w:firstLine="480" w:firstLineChars="200"/>
      <w:jc w:val="center"/>
    </w:pPr>
    <w:rPr>
      <w:sz w:val="24"/>
      <w:szCs w:val="20"/>
    </w:rPr>
  </w:style>
  <w:style w:type="paragraph" w:customStyle="1" w:styleId="40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401">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40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0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404">
    <w:name w:val="字元 字元"/>
    <w:basedOn w:val="1"/>
    <w:qFormat/>
    <w:uiPriority w:val="0"/>
    <w:rPr>
      <w:rFonts w:ascii="Tahoma" w:hAnsi="Tahoma"/>
      <w:sz w:val="24"/>
      <w:szCs w:val="20"/>
    </w:rPr>
  </w:style>
  <w:style w:type="paragraph" w:customStyle="1" w:styleId="405">
    <w:name w:val="样式 标题 2 + 宋体 五号 行距: 单倍行距"/>
    <w:basedOn w:val="4"/>
    <w:qFormat/>
    <w:uiPriority w:val="0"/>
    <w:pPr>
      <w:numPr>
        <w:ilvl w:val="1"/>
        <w:numId w:val="7"/>
      </w:numPr>
      <w:autoSpaceDE/>
      <w:autoSpaceDN/>
      <w:spacing w:before="260" w:after="260" w:line="240" w:lineRule="auto"/>
      <w:jc w:val="left"/>
      <w:textAlignment w:val="baseline"/>
    </w:pPr>
    <w:rPr>
      <w:rFonts w:ascii="宋体" w:hAnsi="宋体" w:eastAsia="宋体"/>
      <w:bCs/>
      <w:sz w:val="21"/>
    </w:rPr>
  </w:style>
  <w:style w:type="paragraph" w:customStyle="1" w:styleId="406">
    <w:name w:val="Char3 Char Char Char"/>
    <w:basedOn w:val="1"/>
    <w:qFormat/>
    <w:uiPriority w:val="0"/>
    <w:rPr>
      <w:rFonts w:ascii="Tahoma" w:hAnsi="Tahoma"/>
      <w:sz w:val="24"/>
      <w:szCs w:val="20"/>
    </w:rPr>
  </w:style>
  <w:style w:type="paragraph" w:customStyle="1" w:styleId="407">
    <w:name w:val="Char Char Char Char Char Char"/>
    <w:basedOn w:val="23"/>
    <w:qFormat/>
    <w:uiPriority w:val="0"/>
    <w:pPr>
      <w:adjustRightInd w:val="0"/>
      <w:spacing w:line="360" w:lineRule="atLeast"/>
      <w:jc w:val="left"/>
      <w:textAlignment w:val="baseline"/>
    </w:pPr>
    <w:rPr>
      <w:rFonts w:ascii="Tahoma" w:hAnsi="Tahoma"/>
      <w:kern w:val="0"/>
      <w:sz w:val="24"/>
      <w:szCs w:val="20"/>
    </w:rPr>
  </w:style>
  <w:style w:type="paragraph" w:customStyle="1" w:styleId="40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409">
    <w:name w:val="Char2 Char Char Char Char Char Char"/>
    <w:basedOn w:val="1"/>
    <w:qFormat/>
    <w:uiPriority w:val="0"/>
    <w:pPr>
      <w:widowControl/>
      <w:spacing w:line="400" w:lineRule="exact"/>
      <w:jc w:val="center"/>
    </w:p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41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41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413">
    <w:name w:val="xl2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b/>
      <w:bCs/>
      <w:color w:val="000000"/>
      <w:kern w:val="0"/>
      <w:sz w:val="20"/>
      <w:szCs w:val="20"/>
    </w:rPr>
  </w:style>
  <w:style w:type="paragraph" w:customStyle="1" w:styleId="414">
    <w:name w:val="正文文本样式 加粗"/>
    <w:basedOn w:val="298"/>
    <w:qFormat/>
    <w:uiPriority w:val="0"/>
    <w:rPr>
      <w:b/>
    </w:rPr>
  </w:style>
  <w:style w:type="paragraph" w:customStyle="1" w:styleId="415">
    <w:name w:val="Char Char Char Char Char Char Char Char Char Char"/>
    <w:basedOn w:val="1"/>
    <w:qFormat/>
    <w:uiPriority w:val="0"/>
  </w:style>
  <w:style w:type="paragraph" w:customStyle="1" w:styleId="41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417">
    <w:name w:val="Char Char Char Char11"/>
    <w:basedOn w:val="1"/>
    <w:qFormat/>
    <w:uiPriority w:val="99"/>
  </w:style>
  <w:style w:type="paragraph" w:customStyle="1" w:styleId="418">
    <w:name w:val="说明书3级标题"/>
    <w:basedOn w:val="1"/>
    <w:next w:val="1"/>
    <w:qFormat/>
    <w:uiPriority w:val="0"/>
    <w:pPr>
      <w:tabs>
        <w:tab w:val="left" w:pos="1418"/>
      </w:tabs>
      <w:spacing w:line="360" w:lineRule="auto"/>
      <w:ind w:left="1418" w:hanging="567"/>
    </w:pPr>
    <w:rPr>
      <w:rFonts w:eastAsia="黑体"/>
      <w:sz w:val="24"/>
    </w:rPr>
  </w:style>
  <w:style w:type="paragraph" w:customStyle="1" w:styleId="419">
    <w:name w:val="Char Char41"/>
    <w:basedOn w:val="1"/>
    <w:qFormat/>
    <w:uiPriority w:val="0"/>
    <w:pPr>
      <w:widowControl/>
      <w:spacing w:line="400" w:lineRule="exact"/>
      <w:jc w:val="center"/>
    </w:pPr>
  </w:style>
  <w:style w:type="paragraph" w:customStyle="1" w:styleId="42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422">
    <w:name w:val="样式1"/>
    <w:basedOn w:val="1"/>
    <w:link w:val="423"/>
    <w:qFormat/>
    <w:uiPriority w:val="0"/>
    <w:pPr>
      <w:spacing w:before="120" w:after="120" w:line="300" w:lineRule="auto"/>
    </w:pPr>
    <w:rPr>
      <w:rFonts w:ascii="宋体" w:hAnsi="宋体"/>
      <w:b/>
      <w:sz w:val="24"/>
      <w:szCs w:val="20"/>
    </w:rPr>
  </w:style>
  <w:style w:type="character" w:customStyle="1" w:styleId="423">
    <w:name w:val="样式1 Char"/>
    <w:link w:val="422"/>
    <w:qFormat/>
    <w:locked/>
    <w:uiPriority w:val="0"/>
    <w:rPr>
      <w:rFonts w:ascii="宋体" w:hAnsi="宋体"/>
      <w:b/>
      <w:kern w:val="2"/>
      <w:sz w:val="24"/>
    </w:rPr>
  </w:style>
  <w:style w:type="paragraph" w:customStyle="1" w:styleId="42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425">
    <w:name w:val="Char Char1"/>
    <w:basedOn w:val="23"/>
    <w:qFormat/>
    <w:uiPriority w:val="0"/>
    <w:rPr>
      <w:rFonts w:ascii="Tahoma" w:hAnsi="Tahoma"/>
      <w:sz w:val="24"/>
    </w:rPr>
  </w:style>
  <w:style w:type="paragraph" w:customStyle="1" w:styleId="426">
    <w:name w:val="字元 字元2"/>
    <w:basedOn w:val="1"/>
    <w:qFormat/>
    <w:uiPriority w:val="0"/>
    <w:rPr>
      <w:rFonts w:ascii="Tahoma" w:hAnsi="Tahoma"/>
      <w:sz w:val="24"/>
      <w:szCs w:val="20"/>
    </w:rPr>
  </w:style>
  <w:style w:type="paragraph" w:customStyle="1" w:styleId="427">
    <w:name w:val="1 Char Char Char Char"/>
    <w:basedOn w:val="1"/>
    <w:qFormat/>
    <w:uiPriority w:val="0"/>
    <w:rPr>
      <w:rFonts w:ascii="Tahoma" w:hAnsi="Tahoma"/>
      <w:sz w:val="24"/>
      <w:szCs w:val="20"/>
    </w:rPr>
  </w:style>
  <w:style w:type="paragraph" w:customStyle="1" w:styleId="428">
    <w:name w:val="Char1 Char Char Char1"/>
    <w:basedOn w:val="1"/>
    <w:qFormat/>
    <w:uiPriority w:val="0"/>
    <w:rPr>
      <w:rFonts w:ascii="Tahoma" w:hAnsi="Tahoma" w:cs="仿宋_GB2312"/>
      <w:sz w:val="24"/>
      <w:szCs w:val="28"/>
    </w:rPr>
  </w:style>
  <w:style w:type="paragraph" w:customStyle="1" w:styleId="429">
    <w:name w:val="字元 字元1"/>
    <w:basedOn w:val="1"/>
    <w:qFormat/>
    <w:uiPriority w:val="0"/>
    <w:rPr>
      <w:rFonts w:ascii="Tahoma" w:hAnsi="Tahoma"/>
      <w:sz w:val="24"/>
      <w:szCs w:val="20"/>
    </w:rPr>
  </w:style>
  <w:style w:type="paragraph" w:customStyle="1" w:styleId="4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1">
    <w:name w:val="图例"/>
    <w:basedOn w:val="1"/>
    <w:qFormat/>
    <w:uiPriority w:val="0"/>
    <w:pPr>
      <w:spacing w:before="120" w:after="120" w:line="360" w:lineRule="auto"/>
      <w:jc w:val="center"/>
    </w:pPr>
    <w:rPr>
      <w:rFonts w:eastAsia="仿宋_GB2312"/>
      <w:b/>
      <w:sz w:val="24"/>
      <w:szCs w:val="20"/>
    </w:rPr>
  </w:style>
  <w:style w:type="paragraph" w:customStyle="1" w:styleId="4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43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4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435">
    <w:name w:val="Char Char Char Char1"/>
    <w:basedOn w:val="1"/>
    <w:qFormat/>
    <w:uiPriority w:val="99"/>
    <w:pPr>
      <w:widowControl/>
      <w:spacing w:after="160" w:line="240" w:lineRule="exact"/>
      <w:jc w:val="left"/>
    </w:pPr>
    <w:rPr>
      <w:szCs w:val="20"/>
    </w:rPr>
  </w:style>
  <w:style w:type="paragraph" w:customStyle="1" w:styleId="436">
    <w:name w:val="1名"/>
    <w:basedOn w:val="1"/>
    <w:qFormat/>
    <w:uiPriority w:val="0"/>
    <w:pPr>
      <w:numPr>
        <w:ilvl w:val="0"/>
        <w:numId w:val="8"/>
      </w:numPr>
      <w:spacing w:before="120"/>
    </w:pPr>
    <w:rPr>
      <w:rFonts w:ascii="宋体"/>
      <w:sz w:val="28"/>
      <w:szCs w:val="20"/>
    </w:rPr>
  </w:style>
  <w:style w:type="paragraph" w:customStyle="1" w:styleId="437">
    <w:name w:val="说明书2级标题"/>
    <w:basedOn w:val="1"/>
    <w:next w:val="418"/>
    <w:qFormat/>
    <w:uiPriority w:val="0"/>
    <w:pPr>
      <w:tabs>
        <w:tab w:val="left" w:pos="992"/>
      </w:tabs>
      <w:spacing w:beforeLines="100"/>
      <w:ind w:left="992" w:hanging="567"/>
    </w:pPr>
    <w:rPr>
      <w:rFonts w:eastAsia="黑体"/>
      <w:sz w:val="28"/>
      <w:szCs w:val="28"/>
    </w:rPr>
  </w:style>
  <w:style w:type="paragraph" w:customStyle="1" w:styleId="43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4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440">
    <w:name w:val="Char Char Char Char"/>
    <w:basedOn w:val="1"/>
    <w:qFormat/>
    <w:uiPriority w:val="0"/>
    <w:pPr>
      <w:widowControl/>
      <w:spacing w:after="160" w:line="240" w:lineRule="exact"/>
      <w:jc w:val="left"/>
    </w:pPr>
    <w:rPr>
      <w:szCs w:val="20"/>
    </w:rPr>
  </w:style>
  <w:style w:type="paragraph" w:customStyle="1" w:styleId="4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44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3">
    <w:name w:val="_Style 160"/>
    <w:qFormat/>
    <w:uiPriority w:val="0"/>
    <w:rPr>
      <w:rFonts w:ascii="Times New Roman" w:hAnsi="Times New Roman" w:eastAsia="宋体" w:cs="Times New Roman"/>
      <w:kern w:val="2"/>
      <w:sz w:val="21"/>
      <w:szCs w:val="24"/>
      <w:lang w:val="en-US" w:eastAsia="zh-CN" w:bidi="ar-SA"/>
    </w:rPr>
  </w:style>
  <w:style w:type="paragraph" w:customStyle="1" w:styleId="444">
    <w:name w:val="_Style 379"/>
    <w:basedOn w:val="1"/>
    <w:next w:val="272"/>
    <w:qFormat/>
    <w:uiPriority w:val="34"/>
    <w:pPr>
      <w:ind w:firstLine="420" w:firstLineChars="200"/>
    </w:pPr>
  </w:style>
  <w:style w:type="paragraph" w:customStyle="1" w:styleId="445">
    <w:name w:val="Char Char Char1 Char2"/>
    <w:basedOn w:val="1"/>
    <w:qFormat/>
    <w:uiPriority w:val="0"/>
    <w:rPr>
      <w:rFonts w:ascii="Tahoma" w:hAnsi="Tahoma"/>
      <w:sz w:val="24"/>
      <w:szCs w:val="20"/>
    </w:rPr>
  </w:style>
  <w:style w:type="paragraph" w:customStyle="1" w:styleId="446">
    <w:name w:val="Char21"/>
    <w:basedOn w:val="1"/>
    <w:qFormat/>
    <w:uiPriority w:val="0"/>
    <w:rPr>
      <w:rFonts w:ascii="Tahoma" w:hAnsi="Tahoma"/>
      <w:sz w:val="24"/>
      <w:szCs w:val="20"/>
    </w:rPr>
  </w:style>
  <w:style w:type="paragraph" w:customStyle="1" w:styleId="447">
    <w:name w:val="Char2 Char Char Char Char Char Char1"/>
    <w:basedOn w:val="1"/>
    <w:qFormat/>
    <w:uiPriority w:val="0"/>
    <w:pPr>
      <w:widowControl/>
      <w:spacing w:line="400" w:lineRule="exact"/>
      <w:jc w:val="center"/>
    </w:pPr>
  </w:style>
  <w:style w:type="paragraph" w:styleId="44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9">
    <w:name w:val="xl23"/>
    <w:basedOn w:val="1"/>
    <w:qFormat/>
    <w:uiPriority w:val="0"/>
    <w:pPr>
      <w:widowControl/>
      <w:spacing w:before="100" w:beforeAutospacing="1" w:after="100" w:afterAutospacing="1" w:line="360" w:lineRule="auto"/>
      <w:textAlignment w:val="top"/>
    </w:pPr>
    <w:rPr>
      <w:kern w:val="0"/>
      <w:sz w:val="24"/>
      <w:szCs w:val="20"/>
    </w:rPr>
  </w:style>
  <w:style w:type="table" w:customStyle="1" w:styleId="450">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451">
    <w:name w:val="签名 字符"/>
    <w:qFormat/>
    <w:uiPriority w:val="99"/>
    <w:rPr>
      <w:kern w:val="2"/>
      <w:sz w:val="21"/>
      <w:szCs w:val="24"/>
    </w:rPr>
  </w:style>
  <w:style w:type="character" w:customStyle="1" w:styleId="452">
    <w:name w:val="副标题 字符"/>
    <w:qFormat/>
    <w:uiPriority w:val="11"/>
    <w:rPr>
      <w:rFonts w:ascii="等线 Light" w:hAnsi="等线 Light" w:cs="Times New Roman"/>
      <w:b/>
      <w:bCs/>
      <w:kern w:val="28"/>
      <w:sz w:val="32"/>
      <w:szCs w:val="32"/>
    </w:rPr>
  </w:style>
  <w:style w:type="character" w:customStyle="1" w:styleId="453">
    <w:name w:val="信息标题 字符"/>
    <w:qFormat/>
    <w:uiPriority w:val="99"/>
    <w:rPr>
      <w:rFonts w:ascii="等线 Light" w:hAnsi="等线 Light" w:eastAsia="等线 Light" w:cs="Times New Roman"/>
      <w:kern w:val="2"/>
      <w:sz w:val="24"/>
      <w:szCs w:val="24"/>
      <w:shd w:val="pct20" w:color="auto" w:fill="auto"/>
    </w:rPr>
  </w:style>
  <w:style w:type="paragraph" w:customStyle="1" w:styleId="454">
    <w:name w:val="正文文本缩进 21"/>
    <w:basedOn w:val="1"/>
    <w:qFormat/>
    <w:uiPriority w:val="99"/>
    <w:pPr>
      <w:spacing w:after="120" w:line="480" w:lineRule="auto"/>
      <w:ind w:left="420" w:leftChars="200"/>
    </w:pPr>
    <w:rPr>
      <w:sz w:val="24"/>
    </w:rPr>
  </w:style>
  <w:style w:type="paragraph" w:customStyle="1" w:styleId="455">
    <w:name w:val="日期1"/>
    <w:basedOn w:val="1"/>
    <w:next w:val="1"/>
    <w:qFormat/>
    <w:uiPriority w:val="0"/>
    <w:pPr>
      <w:spacing w:line="360" w:lineRule="auto"/>
    </w:pPr>
    <w:rPr>
      <w:sz w:val="32"/>
      <w:szCs w:val="20"/>
    </w:rPr>
  </w:style>
  <w:style w:type="character" w:customStyle="1" w:styleId="456">
    <w:name w:val="页码1"/>
    <w:qFormat/>
    <w:uiPriority w:val="99"/>
    <w:rPr>
      <w:rFonts w:cs="Times New Roman"/>
    </w:rPr>
  </w:style>
  <w:style w:type="character" w:customStyle="1" w:styleId="457">
    <w:name w:val="apple-converted-space"/>
    <w:qFormat/>
    <w:uiPriority w:val="0"/>
  </w:style>
  <w:style w:type="character" w:customStyle="1" w:styleId="458">
    <w:name w:val="标题 3 Char Char Char Char Char Char Char Char Char Char Char Char Char Char Char Char Char Char Char Char Char Char Char Char Char Char Char Char Char Char Char Char"/>
    <w:qFormat/>
    <w:uiPriority w:val="0"/>
    <w:rPr>
      <w:rFonts w:eastAsia="宋体"/>
      <w:b/>
      <w:bCs/>
      <w:kern w:val="2"/>
      <w:sz w:val="32"/>
      <w:szCs w:val="32"/>
      <w:lang w:val="en-US" w:eastAsia="zh-CN" w:bidi="ar-SA"/>
    </w:rPr>
  </w:style>
  <w:style w:type="character" w:customStyle="1" w:styleId="459">
    <w:name w:val="标题 3 Char1"/>
    <w:qFormat/>
    <w:uiPriority w:val="0"/>
    <w:rPr>
      <w:rFonts w:eastAsia="宋体"/>
      <w:b/>
      <w:bCs/>
      <w:kern w:val="2"/>
      <w:sz w:val="32"/>
      <w:szCs w:val="32"/>
      <w:lang w:val="en-US" w:eastAsia="zh-CN" w:bidi="ar-SA"/>
    </w:rPr>
  </w:style>
  <w:style w:type="character" w:customStyle="1" w:styleId="460">
    <w:name w:val="middle1"/>
    <w:qFormat/>
    <w:uiPriority w:val="0"/>
    <w:rPr>
      <w:rFonts w:hint="default" w:ascii="ˎ̥" w:hAnsi="ˎ̥"/>
      <w:sz w:val="21"/>
      <w:szCs w:val="21"/>
    </w:rPr>
  </w:style>
  <w:style w:type="character" w:customStyle="1" w:styleId="461">
    <w:name w:val="Bold Head Char"/>
    <w:qFormat/>
    <w:uiPriority w:val="0"/>
    <w:rPr>
      <w:rFonts w:eastAsia="宋体"/>
      <w:b/>
      <w:kern w:val="2"/>
      <w:sz w:val="32"/>
      <w:lang w:val="en-US" w:eastAsia="zh-CN"/>
    </w:rPr>
  </w:style>
  <w:style w:type="character" w:customStyle="1" w:styleId="462">
    <w:name w:val="15"/>
    <w:qFormat/>
    <w:uiPriority w:val="0"/>
    <w:rPr>
      <w:rFonts w:hint="default" w:ascii="Times New Roman" w:hAnsi="Times New Roman" w:cs="Times New Roman"/>
      <w:b/>
      <w:bCs/>
      <w:sz w:val="24"/>
      <w:szCs w:val="24"/>
    </w:rPr>
  </w:style>
  <w:style w:type="character" w:customStyle="1" w:styleId="463">
    <w:name w:val="Heading 3 Char"/>
    <w:semiHidden/>
    <w:qFormat/>
    <w:locked/>
    <w:uiPriority w:val="0"/>
    <w:rPr>
      <w:rFonts w:cs="Times New Roman"/>
      <w:b/>
      <w:bCs/>
      <w:sz w:val="32"/>
      <w:szCs w:val="32"/>
    </w:rPr>
  </w:style>
  <w:style w:type="character" w:customStyle="1" w:styleId="464">
    <w:name w:val="text1"/>
    <w:qFormat/>
    <w:uiPriority w:val="0"/>
    <w:rPr>
      <w:spacing w:val="8"/>
      <w:sz w:val="21"/>
      <w:szCs w:val="21"/>
    </w:rPr>
  </w:style>
  <w:style w:type="character" w:customStyle="1" w:styleId="465">
    <w:name w:val="textcontents"/>
    <w:qFormat/>
    <w:uiPriority w:val="0"/>
  </w:style>
  <w:style w:type="paragraph" w:customStyle="1" w:styleId="466">
    <w:name w:val="Char Char Char Char Char Char2"/>
    <w:basedOn w:val="1"/>
    <w:qFormat/>
    <w:uiPriority w:val="0"/>
    <w:rPr>
      <w:rFonts w:ascii="Tahoma" w:hAnsi="Tahoma"/>
      <w:sz w:val="24"/>
      <w:szCs w:val="20"/>
    </w:rPr>
  </w:style>
  <w:style w:type="paragraph" w:customStyle="1" w:styleId="467">
    <w:name w:val="CM3"/>
    <w:basedOn w:val="17"/>
    <w:next w:val="17"/>
    <w:qFormat/>
    <w:uiPriority w:val="0"/>
    <w:pPr>
      <w:spacing w:line="346" w:lineRule="atLeast"/>
    </w:pPr>
    <w:rPr>
      <w:rFonts w:ascii="宋体" w:hAnsi="Times New Roman" w:cs="宋体"/>
      <w:color w:val="auto"/>
    </w:rPr>
  </w:style>
  <w:style w:type="paragraph" w:customStyle="1" w:styleId="468">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样式 首行缩进:  0.77 厘米 行距: 1.5 倍行距1"/>
    <w:basedOn w:val="1"/>
    <w:qFormat/>
    <w:uiPriority w:val="0"/>
    <w:pPr>
      <w:spacing w:line="360" w:lineRule="auto"/>
      <w:ind w:firstLine="437"/>
    </w:pPr>
    <w:rPr>
      <w:rFonts w:cs="宋体"/>
      <w:szCs w:val="20"/>
    </w:rPr>
  </w:style>
  <w:style w:type="paragraph" w:customStyle="1" w:styleId="470">
    <w:name w:val="Char Char Char Char Char1 Char"/>
    <w:basedOn w:val="1"/>
    <w:qFormat/>
    <w:uiPriority w:val="0"/>
    <w:rPr>
      <w:rFonts w:ascii="仿宋_GB2312" w:eastAsia="仿宋_GB2312"/>
      <w:b/>
      <w:sz w:val="32"/>
      <w:szCs w:val="32"/>
    </w:rPr>
  </w:style>
  <w:style w:type="paragraph" w:customStyle="1" w:styleId="471">
    <w:name w:val="列出段落11"/>
    <w:basedOn w:val="1"/>
    <w:qFormat/>
    <w:uiPriority w:val="34"/>
    <w:pPr>
      <w:ind w:firstLine="420" w:firstLineChars="200"/>
    </w:pPr>
  </w:style>
  <w:style w:type="paragraph" w:customStyle="1" w:styleId="472">
    <w:name w:val="CM105"/>
    <w:basedOn w:val="1"/>
    <w:next w:val="1"/>
    <w:qFormat/>
    <w:uiPriority w:val="0"/>
    <w:pPr>
      <w:autoSpaceDE w:val="0"/>
      <w:autoSpaceDN w:val="0"/>
      <w:adjustRightInd w:val="0"/>
      <w:spacing w:after="293"/>
      <w:jc w:val="left"/>
    </w:pPr>
    <w:rPr>
      <w:rFonts w:ascii="黑体" w:eastAsia="黑体"/>
      <w:kern w:val="0"/>
      <w:sz w:val="24"/>
    </w:rPr>
  </w:style>
  <w:style w:type="paragraph" w:customStyle="1" w:styleId="473">
    <w:name w:val="_Style 13"/>
    <w:basedOn w:val="23"/>
    <w:qFormat/>
    <w:uiPriority w:val="0"/>
  </w:style>
  <w:style w:type="paragraph" w:customStyle="1" w:styleId="474">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7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6">
    <w:name w:val="标题 4宋体"/>
    <w:basedOn w:val="7"/>
    <w:qFormat/>
    <w:uiPriority w:val="0"/>
    <w:pPr>
      <w:keepLines w:val="0"/>
      <w:autoSpaceDE w:val="0"/>
      <w:autoSpaceDN w:val="0"/>
      <w:spacing w:before="0" w:after="0" w:line="360" w:lineRule="auto"/>
      <w:jc w:val="left"/>
      <w:textAlignment w:val="auto"/>
    </w:pPr>
    <w:rPr>
      <w:rFonts w:ascii="宋体" w:hAnsi="宋体" w:eastAsia="宋体"/>
      <w:bCs/>
      <w:color w:val="000000"/>
      <w:sz w:val="24"/>
    </w:rPr>
  </w:style>
  <w:style w:type="paragraph" w:customStyle="1" w:styleId="477">
    <w:name w:val="WPS Plain"/>
    <w:qFormat/>
    <w:uiPriority w:val="0"/>
    <w:rPr>
      <w:rFonts w:ascii="Times New Roman" w:hAnsi="Times New Roman" w:eastAsia="宋体" w:cs="Times New Roman"/>
      <w:sz w:val="21"/>
      <w:szCs w:val="22"/>
      <w:lang w:val="en-US" w:eastAsia="zh-CN" w:bidi="ar-SA"/>
    </w:rPr>
  </w:style>
  <w:style w:type="paragraph" w:customStyle="1" w:styleId="478">
    <w:name w:val="_Style 26"/>
    <w:basedOn w:val="1"/>
    <w:qFormat/>
    <w:uiPriority w:val="0"/>
    <w:pPr>
      <w:widowControl/>
      <w:spacing w:after="160" w:line="240" w:lineRule="exact"/>
      <w:jc w:val="left"/>
    </w:pPr>
  </w:style>
  <w:style w:type="paragraph" w:customStyle="1" w:styleId="479">
    <w:name w:val="CM4"/>
    <w:basedOn w:val="17"/>
    <w:next w:val="17"/>
    <w:qFormat/>
    <w:uiPriority w:val="0"/>
    <w:pPr>
      <w:spacing w:line="353" w:lineRule="atLeast"/>
    </w:pPr>
    <w:rPr>
      <w:rFonts w:ascii="宋体" w:hAnsi="Times New Roman" w:cs="宋体"/>
      <w:color w:val="auto"/>
    </w:rPr>
  </w:style>
  <w:style w:type="paragraph" w:customStyle="1" w:styleId="480">
    <w:name w:val="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1">
    <w:name w:val="首行缩进"/>
    <w:basedOn w:val="1"/>
    <w:qFormat/>
    <w:uiPriority w:val="0"/>
    <w:pPr>
      <w:spacing w:line="360" w:lineRule="auto"/>
      <w:ind w:left="210" w:leftChars="100" w:firstLine="420" w:firstLineChars="200"/>
    </w:pPr>
    <w:rPr>
      <w:rFonts w:ascii="宋体" w:hAnsi="宋体"/>
    </w:rPr>
  </w:style>
  <w:style w:type="paragraph" w:customStyle="1" w:styleId="482">
    <w:name w:val="厂商"/>
    <w:basedOn w:val="1"/>
    <w:qFormat/>
    <w:uiPriority w:val="0"/>
    <w:pPr>
      <w:tabs>
        <w:tab w:val="right" w:pos="8306"/>
      </w:tabs>
      <w:spacing w:line="360" w:lineRule="auto"/>
    </w:pPr>
    <w:rPr>
      <w:sz w:val="28"/>
    </w:rPr>
  </w:style>
  <w:style w:type="paragraph" w:customStyle="1" w:styleId="483">
    <w:name w:val="样式 标题 3h33rd levelHeading 3 - oldH3l3CT3章标题1Level 3 Hea..."/>
    <w:basedOn w:val="6"/>
    <w:qFormat/>
    <w:uiPriority w:val="0"/>
    <w:pPr>
      <w:keepNext w:val="0"/>
      <w:keepLines w:val="0"/>
      <w:spacing w:before="120" w:line="288" w:lineRule="auto"/>
      <w:contextualSpacing/>
      <w:jc w:val="both"/>
    </w:pPr>
    <w:rPr>
      <w:rFonts w:ascii="Arial" w:hAnsi="Arial" w:cs="宋体"/>
      <w:bCs/>
      <w:color w:val="000000"/>
      <w:u w:val="none"/>
    </w:rPr>
  </w:style>
  <w:style w:type="paragraph" w:customStyle="1" w:styleId="484">
    <w:name w:val="样式 样式 样式 样式 标题 2 + 宋体 五号 非加粗 黑色 + 段前: 6 磅 段后: 0 磅 行距: 单倍行距 + 段前:..."/>
    <w:basedOn w:val="1"/>
    <w:qFormat/>
    <w:uiPriority w:val="0"/>
    <w:pPr>
      <w:keepNext/>
      <w:keepLines/>
      <w:tabs>
        <w:tab w:val="left" w:pos="1140"/>
      </w:tabs>
      <w:adjustRightInd w:val="0"/>
      <w:spacing w:before="240"/>
      <w:ind w:left="1140" w:hanging="720"/>
      <w:jc w:val="left"/>
      <w:textAlignment w:val="baseline"/>
      <w:outlineLvl w:val="1"/>
    </w:pPr>
    <w:rPr>
      <w:rFonts w:ascii="宋体" w:hAnsi="宋体" w:cs="Century"/>
      <w:b/>
      <w:bCs/>
      <w:color w:val="000000"/>
      <w:kern w:val="0"/>
      <w:szCs w:val="20"/>
    </w:rPr>
  </w:style>
  <w:style w:type="paragraph" w:customStyle="1" w:styleId="485">
    <w:name w:val="_Style 17"/>
    <w:basedOn w:val="1"/>
    <w:next w:val="39"/>
    <w:qFormat/>
    <w:uiPriority w:val="0"/>
    <w:pPr>
      <w:spacing w:line="360" w:lineRule="auto"/>
      <w:ind w:left="1256" w:leftChars="598"/>
    </w:pPr>
    <w:rPr>
      <w:rFonts w:ascii="宋体" w:hAnsi="宋体"/>
      <w:sz w:val="24"/>
    </w:rPr>
  </w:style>
  <w:style w:type="paragraph" w:customStyle="1" w:styleId="486">
    <w:name w:val="Char Char Char Char Char Char Char Char"/>
    <w:basedOn w:val="1"/>
    <w:qFormat/>
    <w:uiPriority w:val="0"/>
    <w:rPr>
      <w:rFonts w:ascii="Tahoma" w:hAnsi="Tahoma"/>
      <w:sz w:val="24"/>
      <w:szCs w:val="20"/>
    </w:rPr>
  </w:style>
  <w:style w:type="paragraph" w:customStyle="1" w:styleId="487">
    <w:name w:val="Char Char Char Char Char Char1"/>
    <w:basedOn w:val="1"/>
    <w:qFormat/>
    <w:uiPriority w:val="0"/>
    <w:rPr>
      <w:rFonts w:ascii="Tahoma" w:hAnsi="Tahoma"/>
      <w:sz w:val="24"/>
      <w:szCs w:val="20"/>
    </w:rPr>
  </w:style>
  <w:style w:type="character" w:customStyle="1" w:styleId="488">
    <w:name w:val="页脚 Char1"/>
    <w:qFormat/>
    <w:uiPriority w:val="99"/>
    <w:rPr>
      <w:sz w:val="18"/>
      <w:szCs w:val="18"/>
    </w:rPr>
  </w:style>
  <w:style w:type="character" w:customStyle="1" w:styleId="489">
    <w:name w:val="列表段落 字符1"/>
    <w:qFormat/>
    <w:locked/>
    <w:uiPriority w:val="34"/>
  </w:style>
  <w:style w:type="character" w:customStyle="1" w:styleId="490">
    <w:name w:val="9-121"/>
    <w:qFormat/>
    <w:uiPriority w:val="0"/>
    <w:rPr>
      <w:sz w:val="18"/>
    </w:rPr>
  </w:style>
  <w:style w:type="character" w:customStyle="1" w:styleId="491">
    <w:name w:val="font31"/>
    <w:qFormat/>
    <w:uiPriority w:val="0"/>
    <w:rPr>
      <w:rFonts w:hint="eastAsia" w:ascii="宋体" w:hAnsi="宋体" w:eastAsia="宋体" w:cs="宋体"/>
      <w:color w:val="000000"/>
      <w:sz w:val="18"/>
      <w:szCs w:val="18"/>
      <w:u w:val="none"/>
    </w:rPr>
  </w:style>
  <w:style w:type="character" w:customStyle="1" w:styleId="492">
    <w:name w:val="标题 Char2"/>
    <w:qFormat/>
    <w:uiPriority w:val="10"/>
    <w:rPr>
      <w:rFonts w:ascii="等线 Light" w:hAnsi="等线 Light" w:cs="Times New Roman"/>
      <w:b/>
      <w:bCs/>
      <w:kern w:val="2"/>
      <w:sz w:val="32"/>
      <w:szCs w:val="32"/>
    </w:rPr>
  </w:style>
  <w:style w:type="character" w:customStyle="1" w:styleId="493">
    <w:name w:val="标准正文 Char"/>
    <w:link w:val="494"/>
    <w:qFormat/>
    <w:uiPriority w:val="0"/>
    <w:rPr>
      <w:sz w:val="24"/>
    </w:rPr>
  </w:style>
  <w:style w:type="paragraph" w:customStyle="1" w:styleId="494">
    <w:name w:val="标准正文"/>
    <w:basedOn w:val="30"/>
    <w:link w:val="493"/>
    <w:qFormat/>
    <w:uiPriority w:val="0"/>
    <w:pPr>
      <w:spacing w:before="60" w:after="60"/>
      <w:ind w:firstLine="482"/>
    </w:pPr>
    <w:rPr>
      <w:kern w:val="0"/>
      <w:szCs w:val="20"/>
    </w:rPr>
  </w:style>
  <w:style w:type="character" w:customStyle="1" w:styleId="495">
    <w:name w:val="正文文本首行缩进 字符1"/>
    <w:qFormat/>
    <w:uiPriority w:val="0"/>
    <w:rPr>
      <w:rFonts w:ascii="等线" w:hAnsi="等线" w:eastAsia="等线" w:cs="Times New Roman"/>
      <w:kern w:val="2"/>
      <w:sz w:val="21"/>
      <w:szCs w:val="22"/>
    </w:rPr>
  </w:style>
  <w:style w:type="character" w:customStyle="1" w:styleId="496">
    <w:name w:val="font01"/>
    <w:qFormat/>
    <w:uiPriority w:val="0"/>
    <w:rPr>
      <w:rFonts w:ascii="Palatino Linotype" w:hAnsi="Palatino Linotype" w:eastAsia="Palatino Linotype" w:cs="Palatino Linotype"/>
      <w:color w:val="000000"/>
      <w:sz w:val="18"/>
      <w:szCs w:val="18"/>
      <w:u w:val="none"/>
    </w:rPr>
  </w:style>
  <w:style w:type="character" w:customStyle="1" w:styleId="497">
    <w:name w:val="标准文本 Char"/>
    <w:link w:val="498"/>
    <w:qFormat/>
    <w:uiPriority w:val="0"/>
    <w:rPr>
      <w:rFonts w:cs="宋体"/>
      <w:sz w:val="24"/>
    </w:rPr>
  </w:style>
  <w:style w:type="paragraph" w:customStyle="1" w:styleId="498">
    <w:name w:val="标准文本"/>
    <w:basedOn w:val="1"/>
    <w:link w:val="497"/>
    <w:qFormat/>
    <w:uiPriority w:val="0"/>
    <w:pPr>
      <w:spacing w:line="360" w:lineRule="auto"/>
      <w:ind w:firstLine="480" w:firstLineChars="200"/>
    </w:pPr>
    <w:rPr>
      <w:kern w:val="0"/>
      <w:sz w:val="24"/>
      <w:szCs w:val="20"/>
    </w:rPr>
  </w:style>
  <w:style w:type="character" w:customStyle="1" w:styleId="499">
    <w:name w:val="font21"/>
    <w:qFormat/>
    <w:uiPriority w:val="0"/>
    <w:rPr>
      <w:rFonts w:hint="eastAsia" w:ascii="宋体" w:hAnsi="宋体" w:eastAsia="宋体" w:cs="宋体"/>
      <w:color w:val="000000"/>
      <w:sz w:val="18"/>
      <w:szCs w:val="18"/>
      <w:u w:val="none"/>
    </w:rPr>
  </w:style>
  <w:style w:type="character" w:customStyle="1" w:styleId="500">
    <w:name w:val="font11"/>
    <w:qFormat/>
    <w:uiPriority w:val="0"/>
    <w:rPr>
      <w:rFonts w:hint="eastAsia" w:ascii="宋体" w:hAnsi="宋体" w:eastAsia="宋体" w:cs="宋体"/>
      <w:color w:val="000000"/>
      <w:sz w:val="18"/>
      <w:szCs w:val="18"/>
      <w:u w:val="none"/>
    </w:rPr>
  </w:style>
  <w:style w:type="character" w:customStyle="1" w:styleId="501">
    <w:name w:val="正文格式 Char1"/>
    <w:qFormat/>
    <w:uiPriority w:val="0"/>
    <w:rPr>
      <w:rFonts w:ascii="Verdana" w:hAnsi="Verdana"/>
      <w:kern w:val="28"/>
      <w:sz w:val="24"/>
      <w:szCs w:val="24"/>
      <w:lang w:eastAsia="ar-SA"/>
    </w:rPr>
  </w:style>
  <w:style w:type="character" w:customStyle="1" w:styleId="502">
    <w:name w:val="签名 Char1"/>
    <w:semiHidden/>
    <w:qFormat/>
    <w:uiPriority w:val="99"/>
    <w:rPr>
      <w:kern w:val="2"/>
      <w:sz w:val="21"/>
    </w:rPr>
  </w:style>
  <w:style w:type="character" w:customStyle="1" w:styleId="503">
    <w:name w:val="彩色列表 - 着色 1 Char"/>
    <w:qFormat/>
    <w:uiPriority w:val="34"/>
    <w:rPr>
      <w:kern w:val="2"/>
      <w:sz w:val="21"/>
      <w:szCs w:val="22"/>
    </w:rPr>
  </w:style>
  <w:style w:type="character" w:customStyle="1" w:styleId="504">
    <w:name w:val="H1 Char"/>
    <w:qFormat/>
    <w:uiPriority w:val="0"/>
    <w:rPr>
      <w:rFonts w:ascii="宋体" w:hAnsi="Times New Roman" w:eastAsia="宋体" w:cs="Times New Roman"/>
      <w:b/>
      <w:kern w:val="44"/>
      <w:sz w:val="32"/>
      <w:szCs w:val="20"/>
    </w:rPr>
  </w:style>
  <w:style w:type="character" w:customStyle="1" w:styleId="505">
    <w:name w:val="标题2 Char"/>
    <w:qFormat/>
    <w:uiPriority w:val="0"/>
    <w:rPr>
      <w:rFonts w:ascii="Arial" w:hAnsi="Arial" w:eastAsia="黑体" w:cs="Times New Roman"/>
      <w:b/>
      <w:kern w:val="0"/>
      <w:sz w:val="30"/>
      <w:szCs w:val="20"/>
    </w:rPr>
  </w:style>
  <w:style w:type="character" w:customStyle="1" w:styleId="506">
    <w:name w:val="签名 Char2"/>
    <w:semiHidden/>
    <w:qFormat/>
    <w:uiPriority w:val="99"/>
    <w:rPr>
      <w:rFonts w:ascii="等线" w:hAnsi="等线" w:eastAsia="等线" w:cs="Times New Roman"/>
      <w:kern w:val="2"/>
      <w:sz w:val="21"/>
      <w:szCs w:val="22"/>
    </w:rPr>
  </w:style>
  <w:style w:type="character" w:customStyle="1" w:styleId="507">
    <w:name w:val="样式 首行缩进:  2 字符 + 宋体 Char"/>
    <w:link w:val="508"/>
    <w:qFormat/>
    <w:uiPriority w:val="0"/>
    <w:rPr>
      <w:rFonts w:ascii="宋体" w:hAnsi="宋体" w:cs="宋体"/>
      <w:sz w:val="24"/>
    </w:rPr>
  </w:style>
  <w:style w:type="paragraph" w:customStyle="1" w:styleId="508">
    <w:name w:val="样式 首行缩进:  2 字符 + 宋体"/>
    <w:basedOn w:val="1"/>
    <w:link w:val="507"/>
    <w:qFormat/>
    <w:uiPriority w:val="0"/>
    <w:pPr>
      <w:spacing w:line="360" w:lineRule="auto"/>
      <w:ind w:firstLine="200" w:firstLineChars="200"/>
    </w:pPr>
    <w:rPr>
      <w:rFonts w:ascii="宋体" w:hAnsi="宋体"/>
      <w:kern w:val="0"/>
      <w:sz w:val="24"/>
      <w:szCs w:val="20"/>
    </w:rPr>
  </w:style>
  <w:style w:type="character" w:customStyle="1" w:styleId="509">
    <w:name w:val="word331"/>
    <w:qFormat/>
    <w:uiPriority w:val="0"/>
    <w:rPr>
      <w:b/>
      <w:bCs/>
      <w:color w:val="002A4E"/>
      <w:sz w:val="20"/>
      <w:szCs w:val="20"/>
    </w:rPr>
  </w:style>
  <w:style w:type="character" w:customStyle="1" w:styleId="510">
    <w:name w:val="信息标题 Char1"/>
    <w:semiHidden/>
    <w:qFormat/>
    <w:uiPriority w:val="99"/>
    <w:rPr>
      <w:rFonts w:ascii="等线 Light" w:hAnsi="等线 Light" w:eastAsia="等线 Light" w:cs="Times New Roman"/>
      <w:kern w:val="2"/>
      <w:sz w:val="24"/>
      <w:szCs w:val="24"/>
      <w:shd w:val="pct20" w:color="auto" w:fill="auto"/>
    </w:rPr>
  </w:style>
  <w:style w:type="paragraph" w:customStyle="1" w:styleId="511">
    <w:name w:val="标题三"/>
    <w:basedOn w:val="6"/>
    <w:next w:val="7"/>
    <w:qFormat/>
    <w:uiPriority w:val="0"/>
    <w:pPr>
      <w:tabs>
        <w:tab w:val="left" w:pos="720"/>
        <w:tab w:val="left" w:pos="1080"/>
      </w:tabs>
      <w:spacing w:before="120" w:line="380" w:lineRule="exact"/>
      <w:ind w:left="1418" w:right="567" w:hanging="851"/>
    </w:pPr>
    <w:rPr>
      <w:rFonts w:ascii="Times New Roman"/>
      <w:bCs/>
      <w:kern w:val="2"/>
      <w:sz w:val="21"/>
      <w:szCs w:val="21"/>
      <w:u w:val="none"/>
    </w:rPr>
  </w:style>
  <w:style w:type="paragraph" w:customStyle="1" w:styleId="512">
    <w:name w:val="普通 (Web)"/>
    <w:basedOn w:val="1"/>
    <w:qFormat/>
    <w:uiPriority w:val="0"/>
    <w:pPr>
      <w:widowControl/>
      <w:spacing w:before="100" w:after="100" w:line="360" w:lineRule="auto"/>
      <w:jc w:val="left"/>
    </w:pPr>
    <w:rPr>
      <w:rFonts w:ascii="宋体" w:hAnsi="宋体"/>
      <w:color w:val="FFFFFF"/>
      <w:kern w:val="0"/>
      <w:sz w:val="24"/>
      <w:szCs w:val="20"/>
    </w:rPr>
  </w:style>
  <w:style w:type="paragraph" w:customStyle="1" w:styleId="513">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514">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szCs w:val="20"/>
    </w:rPr>
  </w:style>
  <w:style w:type="paragraph" w:customStyle="1" w:styleId="515">
    <w:name w:val="Normal Bullets"/>
    <w:basedOn w:val="1"/>
    <w:qFormat/>
    <w:uiPriority w:val="0"/>
    <w:pPr>
      <w:widowControl/>
      <w:numPr>
        <w:ilvl w:val="0"/>
        <w:numId w:val="9"/>
      </w:numPr>
      <w:spacing w:after="120"/>
      <w:jc w:val="left"/>
    </w:pPr>
    <w:rPr>
      <w:rFonts w:ascii="Palatino Linotype" w:hAnsi="Palatino Linotype"/>
      <w:kern w:val="0"/>
      <w:sz w:val="20"/>
      <w:szCs w:val="20"/>
      <w:lang w:eastAsia="en-US"/>
    </w:rPr>
  </w:style>
  <w:style w:type="paragraph" w:customStyle="1" w:styleId="516">
    <w:name w:val="列出段落4"/>
    <w:basedOn w:val="1"/>
    <w:qFormat/>
    <w:uiPriority w:val="99"/>
    <w:pPr>
      <w:ind w:firstLine="420" w:firstLineChars="200"/>
    </w:pPr>
    <w:rPr>
      <w:szCs w:val="20"/>
    </w:rPr>
  </w:style>
  <w:style w:type="paragraph" w:customStyle="1" w:styleId="51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18">
    <w:name w:val="索引 11"/>
    <w:basedOn w:val="1"/>
    <w:next w:val="1"/>
    <w:qFormat/>
    <w:uiPriority w:val="0"/>
    <w:rPr>
      <w:szCs w:val="20"/>
    </w:rPr>
  </w:style>
  <w:style w:type="paragraph" w:customStyle="1" w:styleId="519">
    <w:name w:val="列表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20">
    <w:name w:val="Sub Bullets"/>
    <w:basedOn w:val="515"/>
    <w:qFormat/>
    <w:uiPriority w:val="0"/>
    <w:pPr>
      <w:numPr>
        <w:ilvl w:val="1"/>
      </w:numPr>
      <w:tabs>
        <w:tab w:val="clear" w:pos="3240"/>
      </w:tabs>
      <w:spacing w:after="0"/>
      <w:ind w:left="2880"/>
    </w:pPr>
  </w:style>
  <w:style w:type="paragraph" w:customStyle="1" w:styleId="521">
    <w:name w:val="Char Char Char1 Char Char Char Char"/>
    <w:basedOn w:val="1"/>
    <w:qFormat/>
    <w:uiPriority w:val="0"/>
    <w:rPr>
      <w:rFonts w:ascii="Tahoma" w:hAnsi="Tahoma"/>
      <w:sz w:val="24"/>
      <w:szCs w:val="20"/>
    </w:rPr>
  </w:style>
  <w:style w:type="paragraph" w:customStyle="1" w:styleId="522">
    <w:name w:val="标题8"/>
    <w:basedOn w:val="6"/>
    <w:qFormat/>
    <w:uiPriority w:val="0"/>
    <w:pPr>
      <w:tabs>
        <w:tab w:val="left" w:pos="1827"/>
      </w:tabs>
      <w:autoSpaceDE/>
      <w:autoSpaceDN/>
      <w:adjustRightInd/>
      <w:spacing w:before="120" w:line="380" w:lineRule="exact"/>
      <w:ind w:left="1827" w:hanging="747"/>
      <w:jc w:val="both"/>
    </w:pPr>
    <w:rPr>
      <w:rFonts w:ascii="Times New Roman"/>
      <w:bCs/>
      <w:color w:val="000000"/>
      <w:kern w:val="2"/>
      <w:sz w:val="21"/>
      <w:szCs w:val="32"/>
      <w:u w:val="none"/>
    </w:rPr>
  </w:style>
  <w:style w:type="paragraph" w:customStyle="1" w:styleId="523">
    <w:name w:val="Char1 Char Char Char Char Char Char"/>
    <w:basedOn w:val="1"/>
    <w:qFormat/>
    <w:uiPriority w:val="0"/>
    <w:rPr>
      <w:rFonts w:ascii="Tahoma" w:hAnsi="Tahoma"/>
      <w:sz w:val="24"/>
      <w:szCs w:val="20"/>
    </w:rPr>
  </w:style>
  <w:style w:type="paragraph" w:customStyle="1" w:styleId="524">
    <w:name w:val="正文文本缩进 31"/>
    <w:basedOn w:val="1"/>
    <w:qFormat/>
    <w:uiPriority w:val="0"/>
    <w:pPr>
      <w:autoSpaceDE w:val="0"/>
      <w:autoSpaceDN w:val="0"/>
      <w:adjustRightInd w:val="0"/>
      <w:spacing w:before="120" w:line="22" w:lineRule="atLeast"/>
      <w:ind w:left="720" w:firstLine="480"/>
      <w:jc w:val="left"/>
    </w:pPr>
    <w:rPr>
      <w:sz w:val="16"/>
      <w:szCs w:val="16"/>
    </w:rPr>
  </w:style>
  <w:style w:type="paragraph" w:customStyle="1" w:styleId="525">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0"/>
    </w:rPr>
  </w:style>
  <w:style w:type="paragraph" w:customStyle="1" w:styleId="526">
    <w:name w:val="jin normal"/>
    <w:basedOn w:val="1"/>
    <w:qFormat/>
    <w:uiPriority w:val="0"/>
    <w:pPr>
      <w:spacing w:before="120" w:after="120" w:line="360" w:lineRule="auto"/>
      <w:ind w:firstLine="432"/>
    </w:pPr>
    <w:rPr>
      <w:rFonts w:eastAsia="楷体"/>
      <w:snapToGrid w:val="0"/>
      <w:sz w:val="24"/>
      <w:szCs w:val="20"/>
      <w:lang w:eastAsia="en-US"/>
    </w:rPr>
  </w:style>
  <w:style w:type="paragraph" w:customStyle="1" w:styleId="527">
    <w:name w:val="标题6"/>
    <w:basedOn w:val="528"/>
    <w:qFormat/>
    <w:uiPriority w:val="0"/>
    <w:pPr>
      <w:numPr>
        <w:ilvl w:val="2"/>
        <w:numId w:val="9"/>
      </w:numPr>
      <w:tabs>
        <w:tab w:val="left" w:pos="720"/>
        <w:tab w:val="left" w:pos="1107"/>
      </w:tabs>
      <w:ind w:left="1021" w:right="-170"/>
    </w:pPr>
    <w:rPr>
      <w:bCs/>
      <w:szCs w:val="20"/>
    </w:rPr>
  </w:style>
  <w:style w:type="paragraph" w:customStyle="1" w:styleId="528">
    <w:name w:val="标题5"/>
    <w:basedOn w:val="6"/>
    <w:next w:val="7"/>
    <w:qFormat/>
    <w:uiPriority w:val="0"/>
    <w:pPr>
      <w:tabs>
        <w:tab w:val="left" w:pos="720"/>
        <w:tab w:val="left" w:pos="1107"/>
      </w:tabs>
      <w:spacing w:before="120" w:line="380" w:lineRule="exact"/>
    </w:pPr>
    <w:rPr>
      <w:rFonts w:cs="宋体"/>
      <w:color w:val="000000"/>
      <w:sz w:val="21"/>
      <w:szCs w:val="21"/>
      <w:u w:val="none"/>
      <w:lang w:val="zh-CN"/>
    </w:rPr>
  </w:style>
  <w:style w:type="paragraph" w:customStyle="1" w:styleId="5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0">
    <w:name w:val="样式7"/>
    <w:basedOn w:val="63"/>
    <w:qFormat/>
    <w:uiPriority w:val="0"/>
    <w:pPr>
      <w:tabs>
        <w:tab w:val="left" w:pos="992"/>
      </w:tabs>
      <w:spacing w:before="240" w:after="60" w:line="380" w:lineRule="atLeast"/>
      <w:ind w:left="720" w:right="17" w:hanging="720"/>
    </w:pPr>
    <w:rPr>
      <w:rFonts w:ascii="Arial" w:hAnsi="Arial"/>
      <w:bCs/>
      <w:kern w:val="0"/>
      <w:szCs w:val="32"/>
    </w:rPr>
  </w:style>
  <w:style w:type="paragraph" w:customStyle="1" w:styleId="531">
    <w:name w:val="标题3"/>
    <w:basedOn w:val="6"/>
    <w:next w:val="7"/>
    <w:qFormat/>
    <w:uiPriority w:val="0"/>
    <w:pPr>
      <w:tabs>
        <w:tab w:val="left" w:pos="735"/>
      </w:tabs>
      <w:autoSpaceDE/>
      <w:autoSpaceDN/>
      <w:adjustRightInd/>
      <w:spacing w:before="120" w:after="260" w:afterLines="50" w:line="380" w:lineRule="exact"/>
    </w:pPr>
    <w:rPr>
      <w:rFonts w:ascii="Times New Roman"/>
      <w:bCs/>
      <w:kern w:val="2"/>
      <w:sz w:val="21"/>
      <w:szCs w:val="32"/>
      <w:u w:val="none"/>
    </w:rPr>
  </w:style>
  <w:style w:type="paragraph" w:customStyle="1" w:styleId="532">
    <w:name w:val="正文 + 小四"/>
    <w:basedOn w:val="1"/>
    <w:qFormat/>
    <w:uiPriority w:val="0"/>
    <w:pPr>
      <w:spacing w:line="360" w:lineRule="auto"/>
      <w:ind w:firstLine="480" w:firstLineChars="200"/>
    </w:pPr>
    <w:rPr>
      <w:sz w:val="24"/>
    </w:rPr>
  </w:style>
  <w:style w:type="paragraph" w:customStyle="1" w:styleId="533">
    <w:name w:val="样式6"/>
    <w:basedOn w:val="1"/>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534">
    <w:name w:val="Table"/>
    <w:qFormat/>
    <w:uiPriority w:val="0"/>
    <w:rPr>
      <w:rFonts w:ascii="Times New Roman" w:hAnsi="Times New Roman" w:eastAsia="宋体" w:cs="Times New Roman"/>
      <w:sz w:val="21"/>
      <w:lang w:val="en-US" w:eastAsia="en-US" w:bidi="ar-SA"/>
    </w:rPr>
  </w:style>
  <w:style w:type="paragraph" w:customStyle="1" w:styleId="53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0"/>
    </w:rPr>
  </w:style>
  <w:style w:type="paragraph" w:customStyle="1" w:styleId="536">
    <w:name w:val="正文缩排"/>
    <w:basedOn w:val="1"/>
    <w:qFormat/>
    <w:uiPriority w:val="0"/>
    <w:pPr>
      <w:autoSpaceDE w:val="0"/>
      <w:autoSpaceDN w:val="0"/>
      <w:adjustRightInd w:val="0"/>
      <w:spacing w:line="600" w:lineRule="exact"/>
      <w:jc w:val="left"/>
      <w:textAlignment w:val="baseline"/>
    </w:pPr>
    <w:rPr>
      <w:rFonts w:ascii="Arial" w:hAnsi="Arial"/>
      <w:kern w:val="44"/>
      <w:sz w:val="24"/>
      <w:szCs w:val="20"/>
    </w:rPr>
  </w:style>
  <w:style w:type="paragraph" w:customStyle="1" w:styleId="537">
    <w:name w:val="标题7"/>
    <w:basedOn w:val="6"/>
    <w:qFormat/>
    <w:uiPriority w:val="0"/>
    <w:pPr>
      <w:numPr>
        <w:ilvl w:val="2"/>
        <w:numId w:val="10"/>
      </w:numPr>
      <w:tabs>
        <w:tab w:val="left" w:pos="1827"/>
        <w:tab w:val="clear" w:pos="2160"/>
      </w:tabs>
      <w:autoSpaceDE/>
      <w:autoSpaceDN/>
      <w:adjustRightInd/>
      <w:spacing w:before="120" w:after="0" w:line="380" w:lineRule="exact"/>
      <w:ind w:right="50" w:rightChars="50"/>
    </w:pPr>
    <w:rPr>
      <w:rFonts w:ascii="Times New Roman"/>
      <w:b w:val="0"/>
      <w:bCs/>
      <w:color w:val="000000"/>
      <w:kern w:val="2"/>
      <w:sz w:val="21"/>
      <w:szCs w:val="32"/>
      <w:u w:val="none"/>
    </w:rPr>
  </w:style>
  <w:style w:type="paragraph" w:customStyle="1" w:styleId="538">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szCs w:val="20"/>
    </w:rPr>
  </w:style>
  <w:style w:type="paragraph" w:customStyle="1" w:styleId="539">
    <w:name w:val="正文文本 21"/>
    <w:basedOn w:val="1"/>
    <w:qFormat/>
    <w:uiPriority w:val="0"/>
    <w:pPr>
      <w:adjustRightInd w:val="0"/>
      <w:spacing w:before="156"/>
      <w:textAlignment w:val="baseline"/>
    </w:pPr>
    <w:rPr>
      <w:rFonts w:ascii="Arial Narrow" w:hAnsi="Arial Narrow" w:eastAsia="楷体_GB2312"/>
      <w:sz w:val="24"/>
      <w:szCs w:val="20"/>
    </w:rPr>
  </w:style>
  <w:style w:type="paragraph" w:customStyle="1" w:styleId="540">
    <w:name w:val="小标题"/>
    <w:basedOn w:val="1"/>
    <w:qFormat/>
    <w:uiPriority w:val="0"/>
    <w:pPr>
      <w:spacing w:line="380" w:lineRule="exact"/>
      <w:ind w:right="18"/>
      <w:jc w:val="left"/>
    </w:pPr>
    <w:rPr>
      <w:rFonts w:ascii="宋体" w:cs="宋体"/>
      <w:b/>
      <w:color w:val="000000"/>
      <w:kern w:val="0"/>
      <w:szCs w:val="20"/>
    </w:rPr>
  </w:style>
  <w:style w:type="paragraph" w:customStyle="1" w:styleId="541">
    <w:name w:val="wellhope正文"/>
    <w:basedOn w:val="1"/>
    <w:qFormat/>
    <w:uiPriority w:val="0"/>
    <w:pPr>
      <w:spacing w:before="60" w:after="60" w:line="360" w:lineRule="auto"/>
      <w:ind w:firstLine="200" w:firstLineChars="200"/>
    </w:pPr>
    <w:rPr>
      <w:sz w:val="24"/>
      <w:szCs w:val="20"/>
    </w:rPr>
  </w:style>
  <w:style w:type="paragraph" w:customStyle="1" w:styleId="542">
    <w:name w:val="默认段落字体 Para Char"/>
    <w:basedOn w:val="1"/>
    <w:qFormat/>
    <w:uiPriority w:val="0"/>
    <w:pPr>
      <w:adjustRightInd w:val="0"/>
      <w:spacing w:line="360" w:lineRule="auto"/>
    </w:pPr>
    <w:rPr>
      <w:kern w:val="0"/>
      <w:sz w:val="24"/>
      <w:szCs w:val="20"/>
    </w:rPr>
  </w:style>
  <w:style w:type="paragraph" w:customStyle="1" w:styleId="543">
    <w:name w:val="_Style 14"/>
    <w:basedOn w:val="1"/>
    <w:next w:val="61"/>
    <w:qFormat/>
    <w:uiPriority w:val="0"/>
    <w:pPr>
      <w:widowControl/>
      <w:spacing w:before="100" w:beforeAutospacing="1" w:after="100" w:afterAutospacing="1"/>
      <w:jc w:val="left"/>
    </w:pPr>
    <w:rPr>
      <w:rFonts w:ascii="宋体" w:hAnsi="宋体"/>
      <w:kern w:val="0"/>
      <w:sz w:val="18"/>
      <w:szCs w:val="20"/>
    </w:rPr>
  </w:style>
  <w:style w:type="paragraph" w:customStyle="1" w:styleId="544">
    <w:name w:val="TOC 标题2"/>
    <w:basedOn w:val="3"/>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545">
    <w:name w:val="Char1 Char Char Char"/>
    <w:basedOn w:val="1"/>
    <w:qFormat/>
    <w:uiPriority w:val="0"/>
    <w:rPr>
      <w:rFonts w:ascii="Tahoma" w:hAnsi="Tahoma"/>
      <w:sz w:val="24"/>
      <w:szCs w:val="20"/>
    </w:rPr>
  </w:style>
  <w:style w:type="paragraph" w:customStyle="1" w:styleId="546">
    <w:name w:val="样式 样式1 + 首行缩进:  2 字符"/>
    <w:basedOn w:val="1"/>
    <w:qFormat/>
    <w:uiPriority w:val="0"/>
    <w:pPr>
      <w:ind w:firstLine="640" w:firstLineChars="200"/>
    </w:pPr>
    <w:rPr>
      <w:rFonts w:ascii="仿宋_GB2312" w:eastAsia="仿宋_GB2312"/>
      <w:sz w:val="28"/>
      <w:szCs w:val="20"/>
    </w:rPr>
  </w:style>
  <w:style w:type="paragraph" w:customStyle="1" w:styleId="547">
    <w:name w:val="空行"/>
    <w:basedOn w:val="1"/>
    <w:next w:val="1"/>
    <w:qFormat/>
    <w:uiPriority w:val="0"/>
    <w:pPr>
      <w:spacing w:beforeLines="100" w:afterLines="100" w:line="360" w:lineRule="auto"/>
      <w:jc w:val="center"/>
    </w:pPr>
    <w:rPr>
      <w:spacing w:val="20"/>
      <w:sz w:val="24"/>
      <w:szCs w:val="20"/>
    </w:rPr>
  </w:style>
  <w:style w:type="paragraph" w:customStyle="1" w:styleId="548">
    <w:name w:val="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549">
    <w:name w:val="标题1"/>
    <w:basedOn w:val="3"/>
    <w:next w:val="4"/>
    <w:qFormat/>
    <w:uiPriority w:val="0"/>
    <w:pPr>
      <w:tabs>
        <w:tab w:val="left" w:pos="605"/>
        <w:tab w:val="left" w:pos="720"/>
      </w:tabs>
      <w:spacing w:before="0" w:after="0" w:line="360" w:lineRule="auto"/>
      <w:ind w:left="605" w:right="17" w:hanging="425"/>
      <w:jc w:val="left"/>
    </w:pPr>
    <w:rPr>
      <w:rFonts w:cs="宋体"/>
      <w:bCs/>
      <w:color w:val="000000"/>
      <w:kern w:val="0"/>
      <w:szCs w:val="32"/>
      <w:lang w:val="zh-CN"/>
    </w:rPr>
  </w:style>
  <w:style w:type="paragraph" w:customStyle="1" w:styleId="550">
    <w:name w:val="content"/>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51">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552">
    <w:name w:val="WW-正文（首行缩进两字）"/>
    <w:basedOn w:val="1"/>
    <w:qFormat/>
    <w:uiPriority w:val="0"/>
    <w:pPr>
      <w:tabs>
        <w:tab w:val="left" w:pos="0"/>
        <w:tab w:val="left" w:pos="600"/>
        <w:tab w:val="left" w:pos="1865"/>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4"/>
      <w:szCs w:val="20"/>
    </w:rPr>
  </w:style>
  <w:style w:type="paragraph" w:customStyle="1" w:styleId="553">
    <w:name w:val="正文2"/>
    <w:basedOn w:val="1"/>
    <w:link w:val="554"/>
    <w:qFormat/>
    <w:uiPriority w:val="0"/>
    <w:pPr>
      <w:spacing w:before="156" w:line="360" w:lineRule="auto"/>
      <w:ind w:firstLine="510" w:firstLineChars="200"/>
    </w:pPr>
    <w:rPr>
      <w:sz w:val="24"/>
      <w:szCs w:val="20"/>
    </w:rPr>
  </w:style>
  <w:style w:type="character" w:customStyle="1" w:styleId="554">
    <w:name w:val="正文2 字符"/>
    <w:link w:val="553"/>
    <w:qFormat/>
    <w:locked/>
    <w:uiPriority w:val="0"/>
    <w:rPr>
      <w:kern w:val="2"/>
      <w:sz w:val="24"/>
    </w:rPr>
  </w:style>
  <w:style w:type="paragraph" w:customStyle="1" w:styleId="555">
    <w:name w:val="Char Char 字元 字元 字元 Char Char Char Char"/>
    <w:basedOn w:val="1"/>
    <w:qFormat/>
    <w:uiPriority w:val="0"/>
    <w:pPr>
      <w:adjustRightInd w:val="0"/>
      <w:spacing w:line="360" w:lineRule="auto"/>
    </w:pPr>
    <w:rPr>
      <w:kern w:val="0"/>
      <w:sz w:val="24"/>
      <w:szCs w:val="20"/>
    </w:rPr>
  </w:style>
  <w:style w:type="paragraph" w:customStyle="1" w:styleId="556">
    <w:name w:val="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7">
    <w:name w:val="Normal (Web)2"/>
    <w:basedOn w:val="1"/>
    <w:qFormat/>
    <w:uiPriority w:val="99"/>
    <w:pPr>
      <w:spacing w:before="100" w:beforeAutospacing="1" w:after="100" w:afterAutospacing="1"/>
    </w:pPr>
    <w:rPr>
      <w:rFonts w:ascii="Arial Unicode MS" w:hAnsi="Arial Unicode MS" w:eastAsia="Arial Unicode MS" w:cs="Arial Unicode MS"/>
      <w:sz w:val="24"/>
    </w:rPr>
  </w:style>
  <w:style w:type="paragraph" w:customStyle="1" w:styleId="558">
    <w:name w:val="标题一"/>
    <w:basedOn w:val="3"/>
    <w:next w:val="559"/>
    <w:qFormat/>
    <w:uiPriority w:val="0"/>
    <w:pPr>
      <w:tabs>
        <w:tab w:val="left" w:pos="425"/>
      </w:tabs>
      <w:spacing w:before="120" w:line="240" w:lineRule="exact"/>
      <w:ind w:left="425" w:right="17" w:hanging="425"/>
      <w:jc w:val="left"/>
    </w:pPr>
    <w:rPr>
      <w:rFonts w:cs="宋体"/>
      <w:bCs/>
      <w:color w:val="000000"/>
      <w:kern w:val="0"/>
      <w:sz w:val="21"/>
      <w:szCs w:val="21"/>
      <w:lang w:val="zh-CN"/>
    </w:rPr>
  </w:style>
  <w:style w:type="paragraph" w:customStyle="1" w:styleId="559">
    <w:name w:val="标题二"/>
    <w:basedOn w:val="4"/>
    <w:next w:val="1"/>
    <w:qFormat/>
    <w:uiPriority w:val="0"/>
    <w:pPr>
      <w:tabs>
        <w:tab w:val="left" w:pos="720"/>
        <w:tab w:val="left" w:pos="1342"/>
      </w:tabs>
      <w:spacing w:after="120" w:line="380" w:lineRule="exact"/>
      <w:ind w:left="839" w:right="227" w:hanging="612"/>
      <w:jc w:val="left"/>
    </w:pPr>
    <w:rPr>
      <w:rFonts w:ascii="宋体" w:eastAsia="宋体" w:cs="宋体"/>
      <w:bCs/>
      <w:color w:val="000000"/>
      <w:sz w:val="21"/>
      <w:szCs w:val="21"/>
      <w:lang w:val="zh-CN"/>
    </w:rPr>
  </w:style>
  <w:style w:type="paragraph" w:customStyle="1" w:styleId="560">
    <w:name w:val="样式5"/>
    <w:basedOn w:val="63"/>
    <w:qFormat/>
    <w:uiPriority w:val="0"/>
    <w:pPr>
      <w:tabs>
        <w:tab w:val="left" w:pos="992"/>
      </w:tabs>
      <w:spacing w:before="240" w:after="60" w:line="380" w:lineRule="exact"/>
      <w:ind w:left="720" w:hanging="720"/>
      <w:jc w:val="left"/>
    </w:pPr>
    <w:rPr>
      <w:rFonts w:ascii="Arial" w:hAnsi="Arial"/>
      <w:b w:val="0"/>
      <w:bCs/>
      <w:color w:val="000000"/>
      <w:kern w:val="0"/>
      <w:sz w:val="21"/>
      <w:szCs w:val="32"/>
    </w:rPr>
  </w:style>
  <w:style w:type="paragraph" w:customStyle="1" w:styleId="561">
    <w:name w:val="4"/>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62">
    <w:name w:val="正文4 字符"/>
    <w:link w:val="563"/>
    <w:qFormat/>
    <w:locked/>
    <w:uiPriority w:val="0"/>
    <w:rPr>
      <w:rFonts w:ascii="宋体" w:hAnsi="宋体"/>
      <w:sz w:val="24"/>
      <w:szCs w:val="24"/>
    </w:rPr>
  </w:style>
  <w:style w:type="paragraph" w:customStyle="1" w:styleId="563">
    <w:name w:val="正文4"/>
    <w:basedOn w:val="1"/>
    <w:link w:val="562"/>
    <w:qFormat/>
    <w:uiPriority w:val="0"/>
    <w:pPr>
      <w:spacing w:line="360" w:lineRule="auto"/>
      <w:ind w:left="420" w:firstLine="482" w:firstLineChars="200"/>
    </w:pPr>
    <w:rPr>
      <w:rFonts w:ascii="宋体" w:hAnsi="宋体"/>
      <w:kern w:val="0"/>
      <w:sz w:val="24"/>
    </w:rPr>
  </w:style>
  <w:style w:type="character" w:customStyle="1" w:styleId="564">
    <w:name w:val="_Style 6 字符"/>
    <w:link w:val="565"/>
    <w:qFormat/>
    <w:locked/>
    <w:uiPriority w:val="34"/>
    <w:rPr>
      <w:rFonts w:ascii="Calibri" w:hAnsi="Calibri"/>
    </w:rPr>
  </w:style>
  <w:style w:type="paragraph" w:customStyle="1" w:styleId="565">
    <w:name w:val="_Style 6"/>
    <w:basedOn w:val="1"/>
    <w:link w:val="564"/>
    <w:qFormat/>
    <w:uiPriority w:val="34"/>
    <w:pPr>
      <w:spacing w:line="360" w:lineRule="auto"/>
      <w:ind w:firstLine="420" w:firstLineChars="200"/>
    </w:pPr>
    <w:rPr>
      <w:rFonts w:ascii="Calibri" w:hAnsi="Calibri"/>
      <w:kern w:val="0"/>
      <w:sz w:val="20"/>
      <w:szCs w:val="20"/>
    </w:rPr>
  </w:style>
  <w:style w:type="paragraph" w:customStyle="1" w:styleId="566">
    <w:name w:val="修订2"/>
    <w:qFormat/>
    <w:uiPriority w:val="99"/>
    <w:rPr>
      <w:rFonts w:ascii="Times New Roman" w:hAnsi="Times New Roman" w:eastAsia="宋体" w:cs="Times New Roman"/>
      <w:kern w:val="2"/>
      <w:sz w:val="21"/>
      <w:szCs w:val="24"/>
      <w:lang w:val="en-US" w:eastAsia="zh-CN" w:bidi="ar-SA"/>
    </w:rPr>
  </w:style>
  <w:style w:type="table" w:customStyle="1" w:styleId="567">
    <w:name w:val="网格型1"/>
    <w:basedOn w:val="67"/>
    <w:qFormat/>
    <w:uiPriority w:val="9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8">
    <w:name w:val="pd011"/>
    <w:qFormat/>
    <w:uiPriority w:val="0"/>
    <w:rPr>
      <w:rFonts w:hint="default" w:ascii="Arial" w:hAnsi="Arial" w:cs="Arial"/>
      <w:sz w:val="18"/>
      <w:szCs w:val="18"/>
    </w:rPr>
  </w:style>
  <w:style w:type="character" w:customStyle="1" w:styleId="569">
    <w:name w:val="text11px1"/>
    <w:qFormat/>
    <w:uiPriority w:val="0"/>
    <w:rPr>
      <w:rFonts w:hint="default" w:ascii="Arial" w:hAnsi="Arial" w:cs="Arial"/>
      <w:color w:val="000000"/>
      <w:sz w:val="17"/>
      <w:szCs w:val="17"/>
    </w:rPr>
  </w:style>
  <w:style w:type="character" w:customStyle="1" w:styleId="570">
    <w:name w:val="grame"/>
    <w:qFormat/>
    <w:uiPriority w:val="0"/>
    <w:rPr>
      <w:rFonts w:cs="Times New Roman"/>
    </w:rPr>
  </w:style>
  <w:style w:type="character" w:customStyle="1" w:styleId="571">
    <w:name w:val="msonormal"/>
    <w:qFormat/>
    <w:uiPriority w:val="0"/>
    <w:rPr>
      <w:rFonts w:ascii="Tahoma" w:hAnsi="Tahoma" w:eastAsia="仿宋_GB2312"/>
      <w:kern w:val="2"/>
      <w:sz w:val="24"/>
      <w:lang w:val="en-US" w:eastAsia="ar-SA" w:bidi="ar-SA"/>
    </w:rPr>
  </w:style>
  <w:style w:type="character" w:customStyle="1" w:styleId="572">
    <w:name w:val="content1"/>
    <w:qFormat/>
    <w:uiPriority w:val="0"/>
    <w:rPr>
      <w:rFonts w:ascii="??" w:hAnsi="??"/>
      <w:color w:val="000000"/>
      <w:sz w:val="21"/>
    </w:rPr>
  </w:style>
  <w:style w:type="character" w:customStyle="1" w:styleId="573">
    <w:name w:val="Char Char Char Char Char2"/>
    <w:qFormat/>
    <w:uiPriority w:val="0"/>
    <w:rPr>
      <w:rFonts w:ascii="宋体" w:eastAsia="宋体"/>
      <w:sz w:val="24"/>
      <w:lang w:val="en-US" w:eastAsia="zh-CN"/>
    </w:rPr>
  </w:style>
  <w:style w:type="character" w:customStyle="1" w:styleId="574">
    <w:name w:val="WW-Zeilennummer"/>
    <w:qFormat/>
    <w:uiPriority w:val="0"/>
    <w:rPr>
      <w:rFonts w:ascii="Arial" w:hAnsi="Arial"/>
      <w:sz w:val="18"/>
    </w:rPr>
  </w:style>
  <w:style w:type="character" w:customStyle="1" w:styleId="575">
    <w:name w:val="样式 标书正文 + 下划线 Char"/>
    <w:qFormat/>
    <w:uiPriority w:val="0"/>
    <w:rPr>
      <w:rFonts w:eastAsia="Times New Roman"/>
      <w:kern w:val="2"/>
      <w:sz w:val="28"/>
      <w:u w:val="single"/>
      <w:lang w:val="en-US" w:eastAsia="zh-CN"/>
    </w:rPr>
  </w:style>
  <w:style w:type="character" w:customStyle="1" w:styleId="576">
    <w:name w:val="xh"/>
    <w:qFormat/>
    <w:uiPriority w:val="0"/>
  </w:style>
  <w:style w:type="character" w:customStyle="1" w:styleId="577">
    <w:name w:val="product_name1"/>
    <w:qFormat/>
    <w:uiPriority w:val="0"/>
    <w:rPr>
      <w:rFonts w:hint="default" w:ascii="Arial" w:hAnsi="Arial" w:cs="Arial"/>
      <w:b/>
      <w:bCs/>
      <w:sz w:val="24"/>
      <w:szCs w:val="24"/>
    </w:rPr>
  </w:style>
  <w:style w:type="character" w:customStyle="1" w:styleId="578">
    <w:name w:val="biaotizi1"/>
    <w:qFormat/>
    <w:uiPriority w:val="0"/>
    <w:rPr>
      <w:color w:val="0A2656"/>
      <w:sz w:val="18"/>
      <w:szCs w:val="18"/>
      <w:u w:val="none"/>
    </w:rPr>
  </w:style>
  <w:style w:type="character" w:customStyle="1" w:styleId="579">
    <w:name w:val="text11pxbold1"/>
    <w:qFormat/>
    <w:uiPriority w:val="0"/>
    <w:rPr>
      <w:rFonts w:hint="default" w:ascii="Arial" w:hAnsi="Arial" w:cs="Arial"/>
      <w:b/>
      <w:bCs/>
      <w:color w:val="000000"/>
      <w:sz w:val="17"/>
      <w:szCs w:val="17"/>
    </w:rPr>
  </w:style>
  <w:style w:type="character" w:customStyle="1" w:styleId="580">
    <w:name w:val="tpccontent"/>
    <w:qFormat/>
    <w:uiPriority w:val="0"/>
  </w:style>
  <w:style w:type="character" w:customStyle="1" w:styleId="581">
    <w:name w:val="WW-默认段落字体"/>
    <w:qFormat/>
    <w:uiPriority w:val="0"/>
  </w:style>
  <w:style w:type="character" w:customStyle="1" w:styleId="582">
    <w:name w:val="z21"/>
    <w:qFormat/>
    <w:uiPriority w:val="0"/>
    <w:rPr>
      <w:color w:val="666666"/>
      <w:sz w:val="24"/>
      <w:szCs w:val="24"/>
    </w:rPr>
  </w:style>
  <w:style w:type="character" w:customStyle="1" w:styleId="583">
    <w:name w:val="MM Topic 3 Char Char"/>
    <w:qFormat/>
    <w:uiPriority w:val="0"/>
    <w:rPr>
      <w:b/>
      <w:bCs/>
      <w:sz w:val="30"/>
      <w:szCs w:val="32"/>
    </w:rPr>
  </w:style>
  <w:style w:type="character" w:customStyle="1" w:styleId="584">
    <w:name w:val="页脚-有边框 Char Char1"/>
    <w:qFormat/>
    <w:locked/>
    <w:uiPriority w:val="0"/>
    <w:rPr>
      <w:rFonts w:eastAsia="宋体"/>
      <w:kern w:val="2"/>
      <w:sz w:val="18"/>
      <w:szCs w:val="18"/>
      <w:lang w:val="en-US" w:eastAsia="zh-CN" w:bidi="ar-SA"/>
    </w:rPr>
  </w:style>
  <w:style w:type="character" w:customStyle="1" w:styleId="585">
    <w:name w:val="投标书正文 Char"/>
    <w:link w:val="586"/>
    <w:qFormat/>
    <w:uiPriority w:val="0"/>
    <w:rPr>
      <w:sz w:val="24"/>
      <w:szCs w:val="24"/>
      <w:lang w:val="en-US" w:eastAsia="zh-CN" w:bidi="ar-SA"/>
    </w:rPr>
  </w:style>
  <w:style w:type="paragraph" w:customStyle="1" w:styleId="586">
    <w:name w:val="投标书正文"/>
    <w:link w:val="585"/>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587">
    <w:name w:val="正文 xxha Char"/>
    <w:link w:val="588"/>
    <w:qFormat/>
    <w:uiPriority w:val="0"/>
    <w:rPr>
      <w:sz w:val="24"/>
      <w:szCs w:val="24"/>
    </w:rPr>
  </w:style>
  <w:style w:type="paragraph" w:customStyle="1" w:styleId="588">
    <w:name w:val="正文 xxha"/>
    <w:basedOn w:val="1"/>
    <w:link w:val="587"/>
    <w:qFormat/>
    <w:uiPriority w:val="0"/>
    <w:pPr>
      <w:snapToGrid w:val="0"/>
      <w:spacing w:line="360" w:lineRule="auto"/>
      <w:ind w:firstLine="200" w:firstLineChars="200"/>
    </w:pPr>
    <w:rPr>
      <w:kern w:val="0"/>
      <w:sz w:val="24"/>
    </w:rPr>
  </w:style>
  <w:style w:type="character" w:customStyle="1" w:styleId="589">
    <w:name w:val="Texte Char Char"/>
    <w:qFormat/>
    <w:uiPriority w:val="0"/>
    <w:rPr>
      <w:rFonts w:ascii="宋体" w:hAnsi="Courier New" w:eastAsia="宋体"/>
      <w:kern w:val="2"/>
      <w:sz w:val="21"/>
      <w:lang w:val="en-US" w:eastAsia="zh-CN" w:bidi="ar-SA"/>
    </w:rPr>
  </w:style>
  <w:style w:type="character" w:customStyle="1" w:styleId="590">
    <w:name w:val="书籍标题1"/>
    <w:qFormat/>
    <w:uiPriority w:val="33"/>
    <w:rPr>
      <w:b/>
      <w:bCs/>
      <w:smallCaps/>
      <w:spacing w:val="5"/>
    </w:rPr>
  </w:style>
  <w:style w:type="character" w:customStyle="1" w:styleId="591">
    <w:name w:val="Date Char"/>
    <w:qFormat/>
    <w:locked/>
    <w:uiPriority w:val="0"/>
    <w:rPr>
      <w:rFonts w:cs="Times New Roman"/>
      <w:sz w:val="20"/>
      <w:szCs w:val="20"/>
    </w:rPr>
  </w:style>
  <w:style w:type="character" w:customStyle="1" w:styleId="592">
    <w:name w:val="Char Char Char Char Char1"/>
    <w:qFormat/>
    <w:uiPriority w:val="99"/>
    <w:rPr>
      <w:rFonts w:ascii="宋体" w:eastAsia="宋体"/>
      <w:kern w:val="2"/>
      <w:sz w:val="24"/>
      <w:lang w:val="en-US" w:eastAsia="zh-CN"/>
    </w:rPr>
  </w:style>
  <w:style w:type="character" w:customStyle="1" w:styleId="593">
    <w:name w:val="样式 宋体 四号"/>
    <w:qFormat/>
    <w:uiPriority w:val="0"/>
    <w:rPr>
      <w:rFonts w:ascii="宋体" w:hAnsi="宋体" w:eastAsia="仿宋_GB2312"/>
      <w:sz w:val="28"/>
    </w:rPr>
  </w:style>
  <w:style w:type="character" w:customStyle="1" w:styleId="594">
    <w:name w:val="样式 楷体_GB2312"/>
    <w:qFormat/>
    <w:uiPriority w:val="0"/>
    <w:rPr>
      <w:rFonts w:ascii="楷体_GB2312" w:hAnsi="楷体_GB2312" w:eastAsia="楷体_GB2312"/>
    </w:rPr>
  </w:style>
  <w:style w:type="character" w:customStyle="1" w:styleId="595">
    <w:name w:val="body1"/>
    <w:qFormat/>
    <w:uiPriority w:val="0"/>
    <w:rPr>
      <w:rFonts w:ascii="Arial" w:hAnsi="Arial"/>
      <w:color w:val="000000"/>
      <w:sz w:val="20"/>
      <w:u w:val="none"/>
    </w:rPr>
  </w:style>
  <w:style w:type="character" w:customStyle="1" w:styleId="596">
    <w:name w:val="样式 标书正文 + 黑色 Char"/>
    <w:qFormat/>
    <w:uiPriority w:val="0"/>
    <w:rPr>
      <w:rFonts w:eastAsia="Times New Roman"/>
      <w:color w:val="000000"/>
      <w:kern w:val="2"/>
      <w:sz w:val="28"/>
      <w:lang w:val="en-US" w:eastAsia="zh-CN"/>
    </w:rPr>
  </w:style>
  <w:style w:type="character" w:customStyle="1" w:styleId="597">
    <w:name w:val="headline-content2"/>
    <w:qFormat/>
    <w:uiPriority w:val="0"/>
  </w:style>
  <w:style w:type="character" w:customStyle="1" w:styleId="598">
    <w:name w:val="合同标题 Char Char"/>
    <w:qFormat/>
    <w:locked/>
    <w:uiPriority w:val="0"/>
    <w:rPr>
      <w:rFonts w:ascii="黑体" w:eastAsia="黑体"/>
      <w:b/>
      <w:sz w:val="21"/>
      <w:szCs w:val="24"/>
      <w:lang w:val="en-US" w:eastAsia="zh-CN" w:bidi="ar-SA"/>
    </w:rPr>
  </w:style>
  <w:style w:type="character" w:customStyle="1" w:styleId="599">
    <w:name w:val="Char Char7"/>
    <w:qFormat/>
    <w:locked/>
    <w:uiPriority w:val="0"/>
    <w:rPr>
      <w:rFonts w:ascii="宋体" w:hAnsi="宋体" w:eastAsia="宋体"/>
      <w:b/>
      <w:sz w:val="24"/>
      <w:szCs w:val="24"/>
      <w:lang w:val="en-US" w:eastAsia="zh-CN" w:bidi="ar-SA"/>
    </w:rPr>
  </w:style>
  <w:style w:type="character" w:customStyle="1" w:styleId="600">
    <w:name w:val="Char Char6"/>
    <w:qFormat/>
    <w:locked/>
    <w:uiPriority w:val="0"/>
    <w:rPr>
      <w:rFonts w:eastAsia="宋体"/>
      <w:kern w:val="2"/>
      <w:sz w:val="21"/>
      <w:szCs w:val="24"/>
      <w:lang w:val="en-US" w:eastAsia="zh-CN" w:bidi="ar-SA"/>
    </w:rPr>
  </w:style>
  <w:style w:type="character" w:customStyle="1" w:styleId="601">
    <w:name w:val="Char Char5"/>
    <w:qFormat/>
    <w:locked/>
    <w:uiPriority w:val="0"/>
    <w:rPr>
      <w:rFonts w:ascii="宋体" w:eastAsia="宋体"/>
      <w:sz w:val="24"/>
      <w:szCs w:val="24"/>
      <w:lang w:val="en-US" w:eastAsia="zh-CN" w:bidi="ar-SA"/>
    </w:rPr>
  </w:style>
  <w:style w:type="character" w:customStyle="1" w:styleId="602">
    <w:name w:val="Char Char3"/>
    <w:qFormat/>
    <w:locked/>
    <w:uiPriority w:val="0"/>
    <w:rPr>
      <w:rFonts w:eastAsia="宋体"/>
      <w:sz w:val="24"/>
      <w:lang w:val="en-US" w:eastAsia="zh-CN" w:bidi="ar-SA"/>
    </w:rPr>
  </w:style>
  <w:style w:type="character" w:customStyle="1" w:styleId="603">
    <w:name w:val="标书突出内容（文字加粗） Char"/>
    <w:link w:val="604"/>
    <w:qFormat/>
    <w:uiPriority w:val="1"/>
    <w:rPr>
      <w:rFonts w:ascii="宋体" w:hAnsi="宋体"/>
      <w:b/>
      <w:sz w:val="24"/>
      <w:szCs w:val="24"/>
      <w:lang w:bidi="en-US"/>
    </w:rPr>
  </w:style>
  <w:style w:type="paragraph" w:customStyle="1" w:styleId="604">
    <w:name w:val="标书突出内容（文字加粗）"/>
    <w:basedOn w:val="605"/>
    <w:next w:val="605"/>
    <w:link w:val="603"/>
    <w:qFormat/>
    <w:uiPriority w:val="1"/>
    <w:rPr>
      <w:b/>
    </w:rPr>
  </w:style>
  <w:style w:type="paragraph" w:customStyle="1" w:styleId="605">
    <w:name w:val="正文段落内容"/>
    <w:basedOn w:val="1"/>
    <w:link w:val="606"/>
    <w:qFormat/>
    <w:uiPriority w:val="0"/>
    <w:pPr>
      <w:ind w:firstLine="425" w:firstLineChars="177"/>
    </w:pPr>
    <w:rPr>
      <w:rFonts w:ascii="宋体" w:hAnsi="宋体"/>
      <w:kern w:val="0"/>
      <w:sz w:val="24"/>
      <w:lang w:bidi="en-US"/>
    </w:rPr>
  </w:style>
  <w:style w:type="character" w:customStyle="1" w:styleId="606">
    <w:name w:val="正文段落内容 Char"/>
    <w:link w:val="605"/>
    <w:qFormat/>
    <w:uiPriority w:val="0"/>
    <w:rPr>
      <w:rFonts w:ascii="宋体" w:hAnsi="宋体"/>
      <w:sz w:val="24"/>
      <w:szCs w:val="24"/>
      <w:lang w:bidi="en-US"/>
    </w:rPr>
  </w:style>
  <w:style w:type="character" w:customStyle="1" w:styleId="607">
    <w:name w:val="段落内容二级列表 Char"/>
    <w:link w:val="608"/>
    <w:qFormat/>
    <w:uiPriority w:val="0"/>
    <w:rPr>
      <w:rFonts w:ascii="宋体" w:hAnsi="宋体"/>
      <w:sz w:val="24"/>
      <w:szCs w:val="24"/>
      <w:lang w:bidi="en-US"/>
    </w:rPr>
  </w:style>
  <w:style w:type="paragraph" w:customStyle="1" w:styleId="608">
    <w:name w:val="段落内容二级列表"/>
    <w:basedOn w:val="1"/>
    <w:link w:val="607"/>
    <w:qFormat/>
    <w:uiPriority w:val="0"/>
    <w:pPr>
      <w:tabs>
        <w:tab w:val="left" w:pos="1865"/>
      </w:tabs>
      <w:ind w:left="1865" w:hanging="360"/>
    </w:pPr>
    <w:rPr>
      <w:rFonts w:ascii="宋体" w:hAnsi="宋体"/>
      <w:kern w:val="0"/>
      <w:sz w:val="24"/>
      <w:lang w:bidi="en-US"/>
    </w:rPr>
  </w:style>
  <w:style w:type="character" w:customStyle="1" w:styleId="609">
    <w:name w:val="段落内容无序列表 Char"/>
    <w:link w:val="610"/>
    <w:qFormat/>
    <w:uiPriority w:val="0"/>
    <w:rPr>
      <w:rFonts w:ascii="宋体" w:hAnsi="宋体"/>
      <w:sz w:val="24"/>
      <w:szCs w:val="24"/>
      <w:lang w:bidi="en-US"/>
    </w:rPr>
  </w:style>
  <w:style w:type="paragraph" w:customStyle="1" w:styleId="610">
    <w:name w:val="段落内容无序列表"/>
    <w:basedOn w:val="1"/>
    <w:link w:val="609"/>
    <w:qFormat/>
    <w:uiPriority w:val="0"/>
    <w:pPr>
      <w:widowControl/>
      <w:wordWrap w:val="0"/>
      <w:ind w:firstLine="177" w:firstLineChars="177"/>
    </w:pPr>
    <w:rPr>
      <w:rFonts w:ascii="宋体" w:hAnsi="宋体"/>
      <w:kern w:val="0"/>
      <w:sz w:val="24"/>
      <w:lang w:bidi="en-US"/>
    </w:rPr>
  </w:style>
  <w:style w:type="character" w:customStyle="1" w:styleId="611">
    <w:name w:val="段落内容一级列表 Char"/>
    <w:link w:val="612"/>
    <w:qFormat/>
    <w:uiPriority w:val="0"/>
    <w:rPr>
      <w:rFonts w:ascii="宋体" w:hAnsi="宋体"/>
      <w:sz w:val="24"/>
      <w:szCs w:val="24"/>
      <w:lang w:bidi="en-US"/>
    </w:rPr>
  </w:style>
  <w:style w:type="paragraph" w:customStyle="1" w:styleId="612">
    <w:name w:val="段落内容一级列表"/>
    <w:basedOn w:val="1"/>
    <w:link w:val="611"/>
    <w:qFormat/>
    <w:uiPriority w:val="0"/>
    <w:pPr>
      <w:tabs>
        <w:tab w:val="left" w:pos="1865"/>
      </w:tabs>
      <w:adjustRightInd w:val="0"/>
      <w:ind w:left="1865" w:hanging="360"/>
    </w:pPr>
    <w:rPr>
      <w:rFonts w:ascii="宋体" w:hAnsi="宋体"/>
      <w:kern w:val="0"/>
      <w:sz w:val="24"/>
      <w:lang w:bidi="en-US"/>
    </w:rPr>
  </w:style>
  <w:style w:type="character" w:customStyle="1" w:styleId="613">
    <w:name w:val="图片（居中） Char"/>
    <w:link w:val="614"/>
    <w:qFormat/>
    <w:uiPriority w:val="0"/>
    <w:rPr>
      <w:rFonts w:ascii="宋体" w:hAnsi="宋体"/>
      <w:sz w:val="24"/>
      <w:szCs w:val="24"/>
      <w:lang w:bidi="en-US"/>
    </w:rPr>
  </w:style>
  <w:style w:type="paragraph" w:customStyle="1" w:styleId="614">
    <w:name w:val="图片（居中）"/>
    <w:basedOn w:val="1"/>
    <w:next w:val="605"/>
    <w:link w:val="613"/>
    <w:qFormat/>
    <w:uiPriority w:val="0"/>
    <w:pPr>
      <w:jc w:val="center"/>
    </w:pPr>
    <w:rPr>
      <w:rFonts w:ascii="宋体" w:hAnsi="宋体"/>
      <w:kern w:val="0"/>
      <w:sz w:val="24"/>
      <w:lang w:bidi="en-US"/>
    </w:rPr>
  </w:style>
  <w:style w:type="character" w:customStyle="1" w:styleId="615">
    <w:name w:val="段落内容三级列表 Char"/>
    <w:link w:val="616"/>
    <w:qFormat/>
    <w:uiPriority w:val="0"/>
    <w:rPr>
      <w:rFonts w:ascii="宋体" w:hAnsi="宋体"/>
      <w:sz w:val="24"/>
      <w:szCs w:val="24"/>
      <w:lang w:val="en-US" w:eastAsia="zh-CN" w:bidi="en-US"/>
    </w:rPr>
  </w:style>
  <w:style w:type="paragraph" w:customStyle="1" w:styleId="616">
    <w:name w:val="段落内容三级列表"/>
    <w:link w:val="615"/>
    <w:qFormat/>
    <w:uiPriority w:val="0"/>
    <w:pPr>
      <w:spacing w:line="360" w:lineRule="auto"/>
    </w:pPr>
    <w:rPr>
      <w:rFonts w:ascii="宋体" w:hAnsi="宋体" w:eastAsia="宋体" w:cs="Times New Roman"/>
      <w:sz w:val="24"/>
      <w:szCs w:val="24"/>
      <w:lang w:val="en-US" w:eastAsia="zh-CN" w:bidi="en-US"/>
    </w:rPr>
  </w:style>
  <w:style w:type="character" w:customStyle="1" w:styleId="617">
    <w:name w:val="图表编号及题目 Char"/>
    <w:link w:val="618"/>
    <w:qFormat/>
    <w:locked/>
    <w:uiPriority w:val="99"/>
    <w:rPr>
      <w:rFonts w:ascii="黑体" w:eastAsia="黑体"/>
      <w:b/>
      <w:bCs/>
      <w:szCs w:val="21"/>
    </w:rPr>
  </w:style>
  <w:style w:type="paragraph" w:customStyle="1" w:styleId="618">
    <w:name w:val="图表编号及题目"/>
    <w:basedOn w:val="1"/>
    <w:link w:val="617"/>
    <w:qFormat/>
    <w:uiPriority w:val="99"/>
    <w:pPr>
      <w:adjustRightInd w:val="0"/>
      <w:snapToGrid w:val="0"/>
      <w:spacing w:before="60" w:after="60" w:line="300" w:lineRule="auto"/>
      <w:ind w:firstLine="420"/>
      <w:jc w:val="center"/>
    </w:pPr>
    <w:rPr>
      <w:rFonts w:ascii="黑体" w:eastAsia="黑体"/>
      <w:b/>
      <w:bCs/>
      <w:kern w:val="0"/>
      <w:sz w:val="20"/>
      <w:szCs w:val="21"/>
    </w:rPr>
  </w:style>
  <w:style w:type="character" w:customStyle="1" w:styleId="619">
    <w:name w:val="MM Topic 2 Char"/>
    <w:link w:val="620"/>
    <w:qFormat/>
    <w:uiPriority w:val="0"/>
    <w:rPr>
      <w:rFonts w:ascii="Cambria" w:hAnsi="Cambria"/>
      <w:b/>
      <w:bCs/>
      <w:sz w:val="32"/>
      <w:szCs w:val="32"/>
    </w:rPr>
  </w:style>
  <w:style w:type="paragraph" w:customStyle="1" w:styleId="620">
    <w:name w:val="MM Topic 2"/>
    <w:basedOn w:val="4"/>
    <w:link w:val="619"/>
    <w:qFormat/>
    <w:uiPriority w:val="0"/>
    <w:pPr>
      <w:widowControl/>
      <w:tabs>
        <w:tab w:val="left" w:pos="1440"/>
      </w:tabs>
      <w:autoSpaceDE/>
      <w:autoSpaceDN/>
      <w:adjustRightInd/>
      <w:spacing w:before="260" w:after="260" w:line="416" w:lineRule="auto"/>
      <w:ind w:left="1440" w:hanging="360"/>
    </w:pPr>
    <w:rPr>
      <w:rFonts w:ascii="Cambria" w:hAnsi="Cambria" w:eastAsia="宋体"/>
      <w:bCs/>
      <w:sz w:val="32"/>
      <w:szCs w:val="32"/>
    </w:rPr>
  </w:style>
  <w:style w:type="character" w:customStyle="1" w:styleId="621">
    <w:name w:val="MM Topic 3 Char"/>
    <w:link w:val="622"/>
    <w:qFormat/>
    <w:uiPriority w:val="0"/>
    <w:rPr>
      <w:b/>
      <w:bCs/>
      <w:sz w:val="32"/>
      <w:szCs w:val="32"/>
    </w:rPr>
  </w:style>
  <w:style w:type="paragraph" w:customStyle="1" w:styleId="622">
    <w:name w:val="MM Topic 3"/>
    <w:basedOn w:val="6"/>
    <w:link w:val="621"/>
    <w:qFormat/>
    <w:uiPriority w:val="0"/>
    <w:pPr>
      <w:widowControl/>
      <w:tabs>
        <w:tab w:val="left" w:pos="2160"/>
      </w:tabs>
      <w:autoSpaceDE/>
      <w:autoSpaceDN/>
      <w:adjustRightInd/>
      <w:spacing w:before="260" w:after="260" w:line="416" w:lineRule="auto"/>
      <w:ind w:left="2160" w:hanging="360"/>
      <w:jc w:val="both"/>
    </w:pPr>
    <w:rPr>
      <w:rFonts w:ascii="Times New Roman"/>
      <w:bCs/>
      <w:sz w:val="32"/>
      <w:szCs w:val="32"/>
      <w:u w:val="none"/>
    </w:rPr>
  </w:style>
  <w:style w:type="character" w:customStyle="1" w:styleId="623">
    <w:name w:val="表格 Char"/>
    <w:qFormat/>
    <w:uiPriority w:val="0"/>
    <w:rPr>
      <w:rFonts w:ascii="华文细黑" w:hAnsi="华文细黑"/>
      <w:sz w:val="21"/>
    </w:rPr>
  </w:style>
  <w:style w:type="character" w:customStyle="1" w:styleId="624">
    <w:name w:val="gray9pt1"/>
    <w:qFormat/>
    <w:uiPriority w:val="0"/>
    <w:rPr>
      <w:rFonts w:hint="default" w:ascii="Arial" w:hAnsi="Arial" w:cs="Arial"/>
      <w:color w:val="666666"/>
      <w:sz w:val="18"/>
      <w:szCs w:val="18"/>
    </w:rPr>
  </w:style>
  <w:style w:type="character" w:customStyle="1" w:styleId="625">
    <w:name w:val="MM Topic 1 Char Char"/>
    <w:link w:val="626"/>
    <w:qFormat/>
    <w:uiPriority w:val="0"/>
    <w:rPr>
      <w:b/>
      <w:bCs/>
      <w:kern w:val="44"/>
      <w:sz w:val="36"/>
      <w:szCs w:val="44"/>
    </w:rPr>
  </w:style>
  <w:style w:type="paragraph" w:customStyle="1" w:styleId="626">
    <w:name w:val="MM Topic 1"/>
    <w:basedOn w:val="3"/>
    <w:link w:val="625"/>
    <w:qFormat/>
    <w:uiPriority w:val="0"/>
    <w:pPr>
      <w:autoSpaceDE/>
      <w:autoSpaceDN/>
      <w:adjustRightInd/>
      <w:spacing w:before="100" w:beforeAutospacing="1" w:after="100" w:afterAutospacing="1" w:line="576" w:lineRule="auto"/>
      <w:jc w:val="both"/>
    </w:pPr>
    <w:rPr>
      <w:rFonts w:ascii="Times New Roman"/>
      <w:bCs/>
      <w:sz w:val="36"/>
      <w:szCs w:val="44"/>
    </w:rPr>
  </w:style>
  <w:style w:type="character" w:customStyle="1" w:styleId="627">
    <w:name w:val="MM Topic 4 Char Char"/>
    <w:link w:val="628"/>
    <w:qFormat/>
    <w:uiPriority w:val="0"/>
    <w:rPr>
      <w:rFonts w:eastAsia="黑体"/>
      <w:b/>
      <w:bCs/>
      <w:sz w:val="28"/>
      <w:szCs w:val="28"/>
    </w:rPr>
  </w:style>
  <w:style w:type="paragraph" w:customStyle="1" w:styleId="628">
    <w:name w:val="MM Topic 4"/>
    <w:basedOn w:val="7"/>
    <w:link w:val="627"/>
    <w:qFormat/>
    <w:uiPriority w:val="0"/>
    <w:pPr>
      <w:adjustRightInd/>
      <w:spacing w:before="100" w:beforeAutospacing="1" w:after="100" w:afterAutospacing="1" w:line="374" w:lineRule="auto"/>
      <w:textAlignment w:val="auto"/>
    </w:pPr>
    <w:rPr>
      <w:rFonts w:ascii="Times New Roman" w:hAnsi="Times New Roman"/>
      <w:bCs/>
      <w:szCs w:val="28"/>
    </w:rPr>
  </w:style>
  <w:style w:type="character" w:customStyle="1" w:styleId="629">
    <w:name w:val="样式 (西文) 仿宋_GB2312 (中文) 仿宋_GB2312 三号"/>
    <w:qFormat/>
    <w:uiPriority w:val="0"/>
    <w:rPr>
      <w:rFonts w:ascii="仿宋_GB2312" w:hAnsi="仿宋_GB2312" w:eastAsia="仿宋_GB2312"/>
      <w:sz w:val="24"/>
    </w:rPr>
  </w:style>
  <w:style w:type="character" w:customStyle="1" w:styleId="630">
    <w:name w:val="GP正文(首行缩进) Char"/>
    <w:link w:val="631"/>
    <w:qFormat/>
    <w:uiPriority w:val="0"/>
    <w:rPr>
      <w:rFonts w:ascii="宋体" w:hAnsi="宋体"/>
      <w:sz w:val="24"/>
      <w:szCs w:val="24"/>
    </w:rPr>
  </w:style>
  <w:style w:type="paragraph" w:customStyle="1" w:styleId="631">
    <w:name w:val="GP正文(首行缩进)"/>
    <w:basedOn w:val="1"/>
    <w:link w:val="630"/>
    <w:qFormat/>
    <w:uiPriority w:val="0"/>
    <w:pPr>
      <w:ind w:firstLine="482"/>
    </w:pPr>
    <w:rPr>
      <w:rFonts w:ascii="宋体" w:hAnsi="宋体"/>
      <w:kern w:val="0"/>
      <w:sz w:val="24"/>
    </w:rPr>
  </w:style>
  <w:style w:type="character" w:customStyle="1" w:styleId="632">
    <w:name w:val="h6 Char1"/>
    <w:qFormat/>
    <w:uiPriority w:val="0"/>
    <w:rPr>
      <w:rFonts w:ascii="Cambria" w:hAnsi="Cambria" w:eastAsia="宋体" w:cs="Times New Roman"/>
      <w:b/>
      <w:bCs/>
      <w:kern w:val="2"/>
      <w:sz w:val="24"/>
      <w:szCs w:val="24"/>
      <w:lang w:val="en-US" w:eastAsia="zh-CN" w:bidi="ar-SA"/>
    </w:rPr>
  </w:style>
  <w:style w:type="character" w:customStyle="1" w:styleId="633">
    <w:name w:val="MM Topic 2 Char Char"/>
    <w:qFormat/>
    <w:uiPriority w:val="0"/>
    <w:rPr>
      <w:rFonts w:ascii="Cambria" w:hAnsi="Cambria" w:eastAsia="宋体" w:cs="黑体"/>
      <w:b/>
      <w:bCs/>
      <w:sz w:val="32"/>
      <w:szCs w:val="32"/>
    </w:rPr>
  </w:style>
  <w:style w:type="paragraph" w:customStyle="1" w:styleId="634">
    <w:name w:val="样式 右侧:  0.05 厘米 段前: 2 磅 段后: 2 磅"/>
    <w:basedOn w:val="1"/>
    <w:qFormat/>
    <w:uiPriority w:val="0"/>
    <w:pPr>
      <w:ind w:right="28" w:firstLine="420"/>
    </w:pPr>
  </w:style>
  <w:style w:type="paragraph" w:customStyle="1" w:styleId="635">
    <w:name w:val="style4"/>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36">
    <w:name w:val="MM Topic 5"/>
    <w:basedOn w:val="8"/>
    <w:qFormat/>
    <w:uiPriority w:val="0"/>
    <w:pPr>
      <w:adjustRightInd/>
      <w:spacing w:line="374" w:lineRule="auto"/>
      <w:ind w:firstLine="200" w:firstLineChars="200"/>
      <w:textAlignment w:val="auto"/>
    </w:pPr>
    <w:rPr>
      <w:bCs/>
      <w:szCs w:val="28"/>
      <w:lang w:eastAsia="ar-SA"/>
    </w:rPr>
  </w:style>
  <w:style w:type="paragraph" w:customStyle="1" w:styleId="637">
    <w:name w:val="底端对齐"/>
    <w:basedOn w:val="1"/>
    <w:next w:val="1"/>
    <w:qFormat/>
    <w:uiPriority w:val="0"/>
    <w:pPr>
      <w:textAlignment w:val="bottom"/>
    </w:pPr>
    <w:rPr>
      <w:rFonts w:ascii="宋体" w:hAnsi="宋体"/>
      <w:szCs w:val="21"/>
    </w:rPr>
  </w:style>
  <w:style w:type="paragraph" w:customStyle="1" w:styleId="638">
    <w:name w:val="默认段落字体 Para Char Char Char Char Char Char Char"/>
    <w:basedOn w:val="23"/>
    <w:qFormat/>
    <w:uiPriority w:val="0"/>
    <w:pPr>
      <w:adjustRightInd w:val="0"/>
      <w:spacing w:line="436" w:lineRule="exact"/>
      <w:ind w:left="357"/>
      <w:jc w:val="left"/>
      <w:outlineLvl w:val="3"/>
    </w:pPr>
    <w:rPr>
      <w:rFonts w:eastAsia="Times New Roman"/>
      <w:kern w:val="0"/>
      <w:sz w:val="20"/>
      <w:szCs w:val="20"/>
    </w:rPr>
  </w:style>
  <w:style w:type="paragraph" w:customStyle="1" w:styleId="639">
    <w:name w:val="chap"/>
    <w:basedOn w:val="1"/>
    <w:qFormat/>
    <w:uiPriority w:val="0"/>
    <w:pPr>
      <w:widowControl/>
      <w:ind w:right="-30"/>
    </w:pPr>
    <w:rPr>
      <w:rFonts w:ascii="Arial" w:hAnsi="Arial"/>
      <w:b/>
      <w:caps/>
      <w:kern w:val="0"/>
      <w:sz w:val="24"/>
      <w:szCs w:val="20"/>
      <w:lang w:val="fr-FR" w:eastAsia="fr-FR"/>
    </w:rPr>
  </w:style>
  <w:style w:type="paragraph" w:customStyle="1" w:styleId="640">
    <w:name w:val="Pa4"/>
    <w:basedOn w:val="1"/>
    <w:next w:val="1"/>
    <w:qFormat/>
    <w:uiPriority w:val="0"/>
    <w:pPr>
      <w:autoSpaceDE w:val="0"/>
      <w:autoSpaceDN w:val="0"/>
      <w:adjustRightInd w:val="0"/>
      <w:spacing w:before="80" w:line="140" w:lineRule="auto"/>
      <w:jc w:val="left"/>
    </w:pPr>
    <w:rPr>
      <w:rFonts w:ascii="Helvetica-Condensed-Bold" w:eastAsia="Helvetica-Condensed-Bold"/>
      <w:kern w:val="0"/>
      <w:sz w:val="20"/>
    </w:rPr>
  </w:style>
  <w:style w:type="paragraph" w:customStyle="1" w:styleId="641">
    <w:name w:val="WW-正文文本缩进 3"/>
    <w:basedOn w:val="1"/>
    <w:qFormat/>
    <w:uiPriority w:val="0"/>
    <w:pPr>
      <w:suppressAutoHyphens/>
      <w:spacing w:line="360" w:lineRule="auto"/>
      <w:ind w:left="2" w:firstLine="482"/>
    </w:pPr>
    <w:rPr>
      <w:rFonts w:hint="eastAsia" w:ascii="宋体" w:hAnsi="宋体"/>
      <w:sz w:val="24"/>
      <w:lang w:val="zh-CN" w:eastAsia="ar-SA"/>
    </w:rPr>
  </w:style>
  <w:style w:type="paragraph" w:customStyle="1" w:styleId="642">
    <w:name w:val="Char Char1 Char Char Char Char Char Char Char"/>
    <w:basedOn w:val="1"/>
    <w:qFormat/>
    <w:uiPriority w:val="0"/>
    <w:pPr>
      <w:tabs>
        <w:tab w:val="left" w:pos="3240"/>
      </w:tabs>
    </w:pPr>
    <w:rPr>
      <w:rFonts w:ascii="Tahoma" w:hAnsi="Tahoma"/>
      <w:sz w:val="24"/>
      <w:szCs w:val="20"/>
    </w:rPr>
  </w:style>
  <w:style w:type="paragraph" w:customStyle="1" w:styleId="643">
    <w:name w:val="第一章"/>
    <w:basedOn w:val="1"/>
    <w:qFormat/>
    <w:uiPriority w:val="0"/>
    <w:pPr>
      <w:pageBreakBefore/>
      <w:spacing w:afterLines="100" w:line="360" w:lineRule="auto"/>
      <w:ind w:firstLine="200" w:firstLineChars="200"/>
      <w:jc w:val="left"/>
    </w:pPr>
    <w:rPr>
      <w:rFonts w:eastAsia="黑体"/>
      <w:b/>
      <w:sz w:val="32"/>
    </w:rPr>
  </w:style>
  <w:style w:type="paragraph" w:customStyle="1" w:styleId="644">
    <w:name w:val="1."/>
    <w:basedOn w:val="1"/>
    <w:qFormat/>
    <w:uiPriority w:val="0"/>
    <w:pPr>
      <w:spacing w:line="360" w:lineRule="auto"/>
    </w:pPr>
    <w:rPr>
      <w:sz w:val="24"/>
    </w:rPr>
  </w:style>
  <w:style w:type="paragraph" w:customStyle="1" w:styleId="645">
    <w:name w:val="1)"/>
    <w:basedOn w:val="1"/>
    <w:qFormat/>
    <w:uiPriority w:val="0"/>
    <w:pPr>
      <w:tabs>
        <w:tab w:val="left" w:pos="964"/>
      </w:tabs>
      <w:spacing w:line="360" w:lineRule="auto"/>
      <w:ind w:left="964" w:hanging="482"/>
    </w:pPr>
    <w:rPr>
      <w:sz w:val="24"/>
    </w:rPr>
  </w:style>
  <w:style w:type="paragraph" w:customStyle="1" w:styleId="646">
    <w:name w:val="样式 正文缩进 + 首行缩进:  2.06 字符"/>
    <w:basedOn w:val="5"/>
    <w:qFormat/>
    <w:uiPriority w:val="0"/>
    <w:pPr>
      <w:autoSpaceDE/>
      <w:autoSpaceDN/>
      <w:adjustRightInd/>
      <w:spacing w:line="360" w:lineRule="auto"/>
      <w:ind w:right="31" w:rightChars="15" w:firstLine="433" w:firstLineChars="206"/>
      <w:jc w:val="both"/>
    </w:pPr>
    <w:rPr>
      <w:rFonts w:hAnsi="宋体" w:cs="宋体"/>
      <w:szCs w:val="20"/>
    </w:rPr>
  </w:style>
  <w:style w:type="paragraph" w:customStyle="1" w:styleId="647">
    <w:name w:val="Char Char Char Char Char Char1 Char"/>
    <w:basedOn w:val="1"/>
    <w:qFormat/>
    <w:uiPriority w:val="0"/>
    <w:pPr>
      <w:widowControl/>
      <w:wordWrap w:val="0"/>
      <w:jc w:val="left"/>
    </w:pPr>
    <w:rPr>
      <w:rFonts w:ascii="Tahoma" w:hAnsi="Tahoma"/>
      <w:sz w:val="24"/>
      <w:szCs w:val="20"/>
    </w:rPr>
  </w:style>
  <w:style w:type="paragraph" w:customStyle="1" w:styleId="648">
    <w:name w:val="代码"/>
    <w:basedOn w:val="1"/>
    <w:qFormat/>
    <w:uiPriority w:val="0"/>
    <w:pPr>
      <w:spacing w:beforeLines="50" w:afterLines="50"/>
      <w:ind w:left="960" w:leftChars="400"/>
    </w:pPr>
    <w:rPr>
      <w:rFonts w:ascii="Courier New" w:hAnsi="Courier New" w:eastAsia="楷体_GB2312"/>
      <w:szCs w:val="21"/>
    </w:rPr>
  </w:style>
  <w:style w:type="paragraph" w:customStyle="1" w:styleId="649">
    <w:name w:val="普通(网站)11"/>
    <w:basedOn w:val="1"/>
    <w:qFormat/>
    <w:uiPriority w:val="0"/>
    <w:pPr>
      <w:widowControl/>
      <w:spacing w:before="100" w:beforeAutospacing="1" w:after="100" w:afterAutospacing="1"/>
      <w:jc w:val="left"/>
    </w:pPr>
    <w:rPr>
      <w:rFonts w:hint="eastAsia" w:ascii="宋体"/>
      <w:kern w:val="0"/>
      <w:sz w:val="24"/>
    </w:rPr>
  </w:style>
  <w:style w:type="paragraph" w:customStyle="1" w:styleId="650">
    <w:name w:val="样式一"/>
    <w:basedOn w:val="1"/>
    <w:qFormat/>
    <w:uiPriority w:val="0"/>
    <w:pPr>
      <w:autoSpaceDE w:val="0"/>
      <w:autoSpaceDN w:val="0"/>
      <w:adjustRightInd w:val="0"/>
      <w:spacing w:line="360" w:lineRule="auto"/>
      <w:textAlignment w:val="baseline"/>
    </w:pPr>
    <w:rPr>
      <w:rFonts w:ascii="宋体" w:hAnsi="宋体"/>
      <w:kern w:val="0"/>
      <w:sz w:val="24"/>
      <w:szCs w:val="20"/>
      <w:lang w:val="en-GB"/>
    </w:rPr>
  </w:style>
  <w:style w:type="paragraph" w:customStyle="1" w:styleId="651">
    <w:name w:val="font10"/>
    <w:basedOn w:val="1"/>
    <w:qFormat/>
    <w:uiPriority w:val="0"/>
    <w:pPr>
      <w:widowControl/>
      <w:spacing w:before="100" w:beforeAutospacing="1" w:after="100" w:afterAutospacing="1"/>
      <w:jc w:val="left"/>
    </w:pPr>
    <w:rPr>
      <w:kern w:val="0"/>
      <w:sz w:val="20"/>
      <w:szCs w:val="20"/>
    </w:rPr>
  </w:style>
  <w:style w:type="paragraph" w:customStyle="1" w:styleId="652">
    <w:name w:val="xl62"/>
    <w:basedOn w:val="1"/>
    <w:qFormat/>
    <w:uiPriority w:val="0"/>
    <w:pPr>
      <w:widowControl/>
      <w:pBdr>
        <w:left w:val="single" w:color="auto" w:sz="4" w:space="0"/>
        <w:bottom w:val="single" w:color="auto" w:sz="4" w:space="0"/>
      </w:pBdr>
      <w:spacing w:before="100" w:beforeAutospacing="1" w:after="100" w:afterAutospacing="1"/>
      <w:jc w:val="left"/>
      <w:textAlignment w:val="bottom"/>
    </w:pPr>
    <w:rPr>
      <w:rFonts w:ascii="Arial Unicode MS" w:hAnsi="Arial Unicode MS" w:cs="Arial Unicode MS"/>
      <w:kern w:val="0"/>
      <w:sz w:val="24"/>
    </w:rPr>
  </w:style>
  <w:style w:type="paragraph" w:customStyle="1" w:styleId="653">
    <w:name w:val="xl59"/>
    <w:basedOn w:val="1"/>
    <w:qFormat/>
    <w:uiPriority w:val="0"/>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654">
    <w:name w:val="3 Char Char Char Char Char Char Char Char Char Char Char Char"/>
    <w:basedOn w:val="1"/>
    <w:qFormat/>
    <w:uiPriority w:val="0"/>
    <w:rPr>
      <w:rFonts w:ascii="仿宋_GB2312" w:eastAsia="仿宋_GB2312"/>
      <w:b/>
      <w:sz w:val="32"/>
      <w:szCs w:val="32"/>
    </w:rPr>
  </w:style>
  <w:style w:type="paragraph" w:customStyle="1" w:styleId="655">
    <w:name w:val="简单回函地址"/>
    <w:basedOn w:val="1"/>
    <w:qFormat/>
    <w:uiPriority w:val="0"/>
    <w:rPr>
      <w:szCs w:val="20"/>
    </w:rPr>
  </w:style>
  <w:style w:type="paragraph" w:customStyle="1" w:styleId="656">
    <w:name w:val="表格标题"/>
    <w:basedOn w:val="1"/>
    <w:qFormat/>
    <w:uiPriority w:val="0"/>
    <w:pPr>
      <w:adjustRightInd w:val="0"/>
      <w:snapToGrid w:val="0"/>
      <w:ind w:left="505" w:leftChars="1" w:right="113" w:hanging="503"/>
      <w:jc w:val="center"/>
    </w:pPr>
    <w:rPr>
      <w:rFonts w:ascii="Ari" w:eastAsia="Times New Roman"/>
      <w:color w:val="000000"/>
      <w:sz w:val="36"/>
      <w:szCs w:val="36"/>
    </w:rPr>
  </w:style>
  <w:style w:type="paragraph" w:customStyle="1" w:styleId="657">
    <w:name w:val="样式 标题 2 + (西文) 方正书宋简体 (中文) 方正黑体简体 非加粗 黑色 段前: 0 磅 段后: 0 磅 行..."/>
    <w:basedOn w:val="4"/>
    <w:qFormat/>
    <w:uiPriority w:val="0"/>
    <w:pPr>
      <w:tabs>
        <w:tab w:val="left" w:pos="1134"/>
      </w:tabs>
      <w:autoSpaceDE/>
      <w:autoSpaceDN/>
      <w:adjustRightInd/>
      <w:spacing w:before="0" w:line="300" w:lineRule="exact"/>
      <w:jc w:val="left"/>
    </w:pPr>
    <w:rPr>
      <w:rFonts w:ascii="方正书宋简体" w:hAnsi="宋体" w:eastAsia="方正小标宋简体" w:cs="宋体"/>
      <w:b w:val="0"/>
      <w:color w:val="000000"/>
      <w:kern w:val="2"/>
      <w:sz w:val="21"/>
    </w:rPr>
  </w:style>
  <w:style w:type="paragraph" w:customStyle="1" w:styleId="658">
    <w:name w:val="样式 标题 2 + (西文) 方正书宋简体 (中文) 方正黑体简体 非加粗 黑色 行距: 固定值 15 磅1"/>
    <w:basedOn w:val="4"/>
    <w:qFormat/>
    <w:uiPriority w:val="0"/>
    <w:pPr>
      <w:tabs>
        <w:tab w:val="left" w:pos="1134"/>
      </w:tabs>
      <w:autoSpaceDE/>
      <w:autoSpaceDN/>
      <w:adjustRightInd/>
      <w:spacing w:before="0" w:line="300" w:lineRule="exact"/>
      <w:jc w:val="left"/>
    </w:pPr>
    <w:rPr>
      <w:rFonts w:ascii="方正书宋简体" w:hAnsi="宋体" w:eastAsia="方正小标宋简体" w:cs="宋体"/>
      <w:b w:val="0"/>
      <w:color w:val="000000"/>
      <w:kern w:val="2"/>
      <w:sz w:val="21"/>
    </w:rPr>
  </w:style>
  <w:style w:type="paragraph" w:customStyle="1" w:styleId="659">
    <w:name w:val="3 Char Char Char Char"/>
    <w:basedOn w:val="1"/>
    <w:qFormat/>
    <w:uiPriority w:val="0"/>
    <w:rPr>
      <w:rFonts w:ascii="仿宋_GB2312" w:eastAsia="仿宋_GB2312"/>
      <w:b/>
      <w:sz w:val="32"/>
      <w:szCs w:val="32"/>
    </w:rPr>
  </w:style>
  <w:style w:type="paragraph" w:customStyle="1" w:styleId="660">
    <w:name w:val="3 Char Char Char Char Char Char Char"/>
    <w:basedOn w:val="1"/>
    <w:qFormat/>
    <w:uiPriority w:val="0"/>
    <w:rPr>
      <w:rFonts w:ascii="仿宋_GB2312" w:eastAsia="仿宋_GB2312"/>
      <w:b/>
      <w:sz w:val="32"/>
      <w:szCs w:val="32"/>
    </w:rPr>
  </w:style>
  <w:style w:type="paragraph" w:customStyle="1" w:styleId="661">
    <w:name w:val="样式 Arial 左侧:  2 字符 行距: 固定值 29 磅"/>
    <w:basedOn w:val="1"/>
    <w:qFormat/>
    <w:uiPriority w:val="0"/>
    <w:pPr>
      <w:adjustRightInd w:val="0"/>
      <w:spacing w:line="580" w:lineRule="atLeast"/>
    </w:pPr>
    <w:rPr>
      <w:rFonts w:ascii="Arial" w:hAnsi="Arial"/>
      <w:kern w:val="0"/>
      <w:sz w:val="24"/>
      <w:szCs w:val="20"/>
    </w:rPr>
  </w:style>
  <w:style w:type="paragraph" w:customStyle="1" w:styleId="662">
    <w:name w:val="xl63"/>
    <w:basedOn w:val="1"/>
    <w:qFormat/>
    <w:uiPriority w:val="0"/>
    <w:pPr>
      <w:widowControl/>
      <w:pBdr>
        <w:left w:val="single" w:color="auto" w:sz="4" w:space="0"/>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663">
    <w:name w:val="样式 标题 2 + (西文) 方正书宋简体 (中文) 方正黑体简体 非加粗 黑色 行距: 固定值 15 磅2"/>
    <w:basedOn w:val="4"/>
    <w:qFormat/>
    <w:uiPriority w:val="0"/>
    <w:pPr>
      <w:tabs>
        <w:tab w:val="left" w:pos="1418"/>
      </w:tabs>
      <w:autoSpaceDE/>
      <w:autoSpaceDN/>
      <w:adjustRightInd/>
      <w:spacing w:before="0" w:line="300" w:lineRule="exact"/>
      <w:ind w:firstLine="200" w:firstLineChars="200"/>
      <w:jc w:val="left"/>
    </w:pPr>
    <w:rPr>
      <w:rFonts w:ascii="方正书宋简体" w:eastAsia="方正小标宋简体" w:cs="宋体"/>
      <w:b w:val="0"/>
      <w:color w:val="000000"/>
      <w:kern w:val="2"/>
      <w:sz w:val="21"/>
    </w:rPr>
  </w:style>
  <w:style w:type="paragraph" w:customStyle="1" w:styleId="664">
    <w:name w:val="Char Char Char Char Char Char Char Char Char2 Char Char Char Char Char Char Char Char Char Char Char Char Char"/>
    <w:basedOn w:val="1"/>
    <w:qFormat/>
    <w:uiPriority w:val="0"/>
    <w:rPr>
      <w:rFonts w:ascii="仿宋_GB2312" w:eastAsia="仿宋_GB2312"/>
      <w:b/>
      <w:sz w:val="32"/>
      <w:szCs w:val="32"/>
    </w:rPr>
  </w:style>
  <w:style w:type="paragraph" w:customStyle="1" w:styleId="665">
    <w:name w:val="样式 标题 2 + (西文) 方正书宋简体 (中文) 方正黑体简体 非加粗 黑色 行距: 固定值 15 磅"/>
    <w:basedOn w:val="4"/>
    <w:qFormat/>
    <w:uiPriority w:val="0"/>
    <w:pPr>
      <w:tabs>
        <w:tab w:val="left" w:pos="1418"/>
      </w:tabs>
      <w:autoSpaceDE/>
      <w:autoSpaceDN/>
      <w:adjustRightInd/>
      <w:spacing w:before="0" w:line="300" w:lineRule="exact"/>
      <w:ind w:firstLine="200" w:firstLineChars="200"/>
      <w:jc w:val="left"/>
    </w:pPr>
    <w:rPr>
      <w:rFonts w:ascii="方正书宋简体" w:hAnsi="宋体" w:eastAsia="方正小标宋简体" w:cs="宋体"/>
      <w:b w:val="0"/>
      <w:color w:val="000000"/>
      <w:kern w:val="2"/>
      <w:sz w:val="21"/>
    </w:rPr>
  </w:style>
  <w:style w:type="paragraph" w:customStyle="1" w:styleId="666">
    <w:name w:val=".."/>
    <w:basedOn w:val="1"/>
    <w:next w:val="1"/>
    <w:qFormat/>
    <w:uiPriority w:val="0"/>
    <w:pPr>
      <w:autoSpaceDE w:val="0"/>
      <w:autoSpaceDN w:val="0"/>
      <w:adjustRightInd w:val="0"/>
      <w:jc w:val="left"/>
    </w:pPr>
    <w:rPr>
      <w:rFonts w:ascii="Sim Sun+ 2" w:eastAsia="Sim Sun+ 2"/>
      <w:kern w:val="0"/>
      <w:sz w:val="20"/>
      <w:lang w:eastAsia="en-US"/>
    </w:rPr>
  </w:style>
  <w:style w:type="paragraph" w:customStyle="1" w:styleId="667">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668">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customStyle="1" w:styleId="669">
    <w:name w:val="xl6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670">
    <w:name w:val="项目符号A"/>
    <w:basedOn w:val="1"/>
    <w:qFormat/>
    <w:uiPriority w:val="0"/>
    <w:pPr>
      <w:tabs>
        <w:tab w:val="left" w:pos="1936"/>
      </w:tabs>
      <w:spacing w:line="360" w:lineRule="auto"/>
      <w:ind w:left="420"/>
      <w:jc w:val="left"/>
    </w:pPr>
    <w:rPr>
      <w:rFonts w:ascii="Arial" w:hAnsi="Arial"/>
      <w:b/>
      <w:bCs/>
      <w:color w:val="000000"/>
      <w:sz w:val="24"/>
    </w:rPr>
  </w:style>
  <w:style w:type="paragraph" w:customStyle="1" w:styleId="671">
    <w:name w:val="item1.1"/>
    <w:basedOn w:val="1"/>
    <w:qFormat/>
    <w:uiPriority w:val="0"/>
    <w:pPr>
      <w:tabs>
        <w:tab w:val="left" w:pos="4140"/>
      </w:tabs>
      <w:spacing w:line="700" w:lineRule="exact"/>
    </w:pPr>
    <w:rPr>
      <w:rFonts w:ascii="宋体" w:hAnsi="宋体"/>
      <w:sz w:val="24"/>
    </w:rPr>
  </w:style>
  <w:style w:type="paragraph" w:customStyle="1" w:styleId="672">
    <w:name w:val="news"/>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673">
    <w:name w:val="xl60"/>
    <w:basedOn w:val="1"/>
    <w:qFormat/>
    <w:uiPriority w:val="0"/>
    <w:pPr>
      <w:widowControl/>
      <w:pBdr>
        <w:right w:val="single" w:color="auto" w:sz="4" w:space="0"/>
      </w:pBdr>
      <w:spacing w:before="100" w:beforeAutospacing="1" w:after="100" w:afterAutospacing="1"/>
      <w:jc w:val="left"/>
      <w:textAlignment w:val="bottom"/>
    </w:pPr>
    <w:rPr>
      <w:rFonts w:ascii="Arial Unicode MS" w:hAnsi="Arial Unicode MS" w:cs="Arial Unicode MS"/>
      <w:kern w:val="0"/>
      <w:sz w:val="24"/>
    </w:rPr>
  </w:style>
  <w:style w:type="paragraph" w:customStyle="1" w:styleId="674">
    <w:name w:val="标书正文"/>
    <w:basedOn w:val="1"/>
    <w:qFormat/>
    <w:uiPriority w:val="0"/>
    <w:pPr>
      <w:tabs>
        <w:tab w:val="left" w:pos="600"/>
      </w:tabs>
      <w:snapToGrid w:val="0"/>
      <w:spacing w:line="480" w:lineRule="atLeast"/>
      <w:jc w:val="center"/>
    </w:pPr>
    <w:rPr>
      <w:rFonts w:eastAsia="黑体"/>
      <w:b/>
      <w:sz w:val="30"/>
      <w:szCs w:val="30"/>
    </w:rPr>
  </w:style>
  <w:style w:type="paragraph" w:customStyle="1" w:styleId="675">
    <w:name w:val="强调文字2"/>
    <w:basedOn w:val="668"/>
    <w:qFormat/>
    <w:uiPriority w:val="0"/>
  </w:style>
  <w:style w:type="paragraph" w:customStyle="1" w:styleId="67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7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Arial Unicode MS" w:hAnsi="Arial Unicode MS" w:cs="Arial Unicode MS"/>
      <w:kern w:val="0"/>
      <w:sz w:val="24"/>
    </w:rPr>
  </w:style>
  <w:style w:type="paragraph" w:customStyle="1" w:styleId="678">
    <w:name w:val="标书正文居左"/>
    <w:basedOn w:val="674"/>
    <w:qFormat/>
    <w:uiPriority w:val="0"/>
    <w:pPr>
      <w:tabs>
        <w:tab w:val="clear" w:pos="600"/>
      </w:tabs>
      <w:jc w:val="both"/>
    </w:pPr>
    <w:rPr>
      <w:rFonts w:eastAsia="宋体"/>
      <w:b w:val="0"/>
      <w:bCs/>
      <w:color w:val="000000"/>
      <w:sz w:val="24"/>
      <w:szCs w:val="24"/>
      <w:shd w:val="clear" w:color="auto" w:fill="FFFFFF"/>
    </w:rPr>
  </w:style>
  <w:style w:type="paragraph" w:customStyle="1" w:styleId="679">
    <w:name w:val="xl61"/>
    <w:basedOn w:val="1"/>
    <w:qFormat/>
    <w:uiPriority w:val="0"/>
    <w:pPr>
      <w:widowControl/>
      <w:spacing w:before="100" w:beforeAutospacing="1" w:after="100" w:afterAutospacing="1"/>
      <w:jc w:val="left"/>
      <w:textAlignment w:val="bottom"/>
    </w:pPr>
    <w:rPr>
      <w:kern w:val="0"/>
      <w:sz w:val="24"/>
    </w:rPr>
  </w:style>
  <w:style w:type="paragraph" w:customStyle="1" w:styleId="680">
    <w:name w:val="正文an"/>
    <w:basedOn w:val="1"/>
    <w:qFormat/>
    <w:uiPriority w:val="0"/>
    <w:pPr>
      <w:adjustRightInd w:val="0"/>
      <w:snapToGrid w:val="0"/>
      <w:spacing w:line="300" w:lineRule="auto"/>
    </w:pPr>
    <w:rPr>
      <w:rFonts w:ascii="Arial Narrow" w:hAnsi="Arial Narrow" w:eastAsia="楷体_GB2312"/>
      <w:sz w:val="26"/>
    </w:rPr>
  </w:style>
  <w:style w:type="paragraph" w:customStyle="1" w:styleId="681">
    <w:name w:val="Char Char Char Char Char Char Char Char Char2 Char Char Char Char Char Char Char Char Char Char Char Char Char1"/>
    <w:basedOn w:val="1"/>
    <w:qFormat/>
    <w:uiPriority w:val="0"/>
  </w:style>
  <w:style w:type="paragraph" w:customStyle="1" w:styleId="682">
    <w:name w:val="t"/>
    <w:basedOn w:val="1"/>
    <w:qFormat/>
    <w:uiPriority w:val="0"/>
    <w:pPr>
      <w:widowControl/>
      <w:tabs>
        <w:tab w:val="left" w:pos="-1440"/>
        <w:tab w:val="left" w:pos="-720"/>
      </w:tabs>
      <w:suppressAutoHyphens/>
    </w:pPr>
    <w:rPr>
      <w:rFonts w:ascii="Arial" w:hAnsi="Arial"/>
      <w:kern w:val="0"/>
      <w:sz w:val="20"/>
      <w:szCs w:val="20"/>
      <w:lang w:eastAsia="en-US"/>
    </w:rPr>
  </w:style>
  <w:style w:type="paragraph" w:customStyle="1" w:styleId="683">
    <w:name w:val="Char Char Char Char Char Char Char Char Char2 Char Char Char Char Char Char Char Char Char Char Char Char Char2"/>
    <w:basedOn w:val="1"/>
    <w:qFormat/>
    <w:uiPriority w:val="0"/>
  </w:style>
  <w:style w:type="paragraph" w:customStyle="1" w:styleId="684">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20"/>
      <w:sz w:val="24"/>
      <w:lang w:val="en-US" w:eastAsia="zh-TW" w:bidi="ar-SA"/>
    </w:rPr>
  </w:style>
  <w:style w:type="paragraph" w:customStyle="1" w:styleId="685">
    <w:name w:val="SANGFOR_6_1级编号"/>
    <w:basedOn w:val="1"/>
    <w:qFormat/>
    <w:uiPriority w:val="0"/>
    <w:pPr>
      <w:tabs>
        <w:tab w:val="left" w:pos="0"/>
        <w:tab w:val="left" w:pos="567"/>
      </w:tabs>
      <w:ind w:left="567" w:hanging="567"/>
    </w:pPr>
  </w:style>
  <w:style w:type="paragraph" w:customStyle="1" w:styleId="686">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687">
    <w:name w:val="1111 Char Char Char Char"/>
    <w:basedOn w:val="1"/>
    <w:qFormat/>
    <w:uiPriority w:val="0"/>
    <w:pPr>
      <w:spacing w:line="360" w:lineRule="auto"/>
      <w:ind w:firstLine="560" w:firstLineChars="200"/>
    </w:pPr>
    <w:rPr>
      <w:szCs w:val="20"/>
    </w:rPr>
  </w:style>
  <w:style w:type="paragraph" w:customStyle="1" w:styleId="688">
    <w:name w:val="Char1 Char Char"/>
    <w:basedOn w:val="1"/>
    <w:qFormat/>
    <w:uiPriority w:val="0"/>
    <w:rPr>
      <w:rFonts w:ascii="仿宋_GB2312" w:eastAsia="仿宋_GB2312"/>
      <w:b/>
      <w:sz w:val="32"/>
      <w:szCs w:val="32"/>
    </w:rPr>
  </w:style>
  <w:style w:type="paragraph" w:customStyle="1" w:styleId="689">
    <w:name w:val="Char Char Char Char3"/>
    <w:basedOn w:val="1"/>
    <w:qFormat/>
    <w:uiPriority w:val="0"/>
    <w:pPr>
      <w:widowControl/>
      <w:spacing w:after="160" w:line="240" w:lineRule="exact"/>
      <w:jc w:val="left"/>
    </w:pPr>
    <w:rPr>
      <w:szCs w:val="20"/>
    </w:rPr>
  </w:style>
  <w:style w:type="paragraph" w:customStyle="1" w:styleId="690">
    <w:name w:val="普通(网站)1"/>
    <w:basedOn w:val="1"/>
    <w:qFormat/>
    <w:uiPriority w:val="0"/>
    <w:pPr>
      <w:widowControl/>
      <w:spacing w:before="100" w:beforeAutospacing="1" w:after="100" w:afterAutospacing="1"/>
      <w:jc w:val="left"/>
    </w:pPr>
    <w:rPr>
      <w:rFonts w:hint="eastAsia" w:ascii="宋体"/>
      <w:kern w:val="0"/>
      <w:sz w:val="24"/>
    </w:rPr>
  </w:style>
  <w:style w:type="paragraph" w:customStyle="1" w:styleId="691">
    <w:name w:val="正文首缩两字"/>
    <w:basedOn w:val="1"/>
    <w:qFormat/>
    <w:uiPriority w:val="0"/>
    <w:pPr>
      <w:spacing w:line="360" w:lineRule="auto"/>
      <w:ind w:left="210" w:right="210" w:firstLine="480" w:firstLineChars="200"/>
      <w:jc w:val="left"/>
    </w:pPr>
    <w:rPr>
      <w:rFonts w:ascii="宋体" w:hAnsi="宋体"/>
      <w:color w:val="000000"/>
      <w:sz w:val="24"/>
      <w:szCs w:val="20"/>
    </w:rPr>
  </w:style>
  <w:style w:type="paragraph" w:customStyle="1" w:styleId="692">
    <w:name w:val="正文 + Arial"/>
    <w:basedOn w:val="1"/>
    <w:qFormat/>
    <w:uiPriority w:val="0"/>
    <w:pPr>
      <w:jc w:val="center"/>
    </w:pPr>
    <w:rPr>
      <w:rFonts w:ascii="宋体" w:hAnsi="宋体" w:cs="Arial"/>
      <w:szCs w:val="21"/>
    </w:rPr>
  </w:style>
  <w:style w:type="paragraph" w:customStyle="1" w:styleId="693">
    <w:name w:val="_Style 18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4">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95">
    <w:name w:val="图片"/>
    <w:basedOn w:val="1"/>
    <w:next w:val="605"/>
    <w:qFormat/>
    <w:uiPriority w:val="0"/>
    <w:pPr>
      <w:jc w:val="center"/>
    </w:pPr>
    <w:rPr>
      <w:rFonts w:cs="宋体"/>
      <w:sz w:val="24"/>
    </w:rPr>
  </w:style>
  <w:style w:type="paragraph" w:customStyle="1" w:styleId="696">
    <w:name w:val="he"/>
    <w:basedOn w:val="1"/>
    <w:next w:val="1"/>
    <w:qFormat/>
    <w:uiPriority w:val="0"/>
    <w:pPr>
      <w:keepNext/>
      <w:keepLines/>
      <w:widowControl/>
      <w:spacing w:before="340" w:after="330"/>
      <w:ind w:left="720" w:hanging="720"/>
      <w:jc w:val="center"/>
      <w:outlineLvl w:val="0"/>
    </w:pPr>
    <w:rPr>
      <w:rFonts w:ascii="宋体" w:hAnsi="宋体" w:eastAsia="黑体"/>
      <w:b/>
      <w:bCs/>
      <w:kern w:val="44"/>
      <w:sz w:val="44"/>
      <w:szCs w:val="44"/>
      <w:lang w:bidi="en-US"/>
    </w:rPr>
  </w:style>
  <w:style w:type="paragraph" w:customStyle="1" w:styleId="697">
    <w:name w:val="标题2"/>
    <w:basedOn w:val="4"/>
    <w:qFormat/>
    <w:uiPriority w:val="0"/>
    <w:pPr>
      <w:widowControl/>
      <w:autoSpaceDE/>
      <w:autoSpaceDN/>
      <w:adjustRightInd/>
      <w:spacing w:before="260" w:after="260" w:line="360" w:lineRule="auto"/>
      <w:ind w:left="426"/>
    </w:pPr>
    <w:rPr>
      <w:rFonts w:ascii="Times New Roman" w:hAnsi="Times New Roman" w:eastAsia="宋体"/>
      <w:bCs/>
      <w:sz w:val="36"/>
      <w:szCs w:val="36"/>
      <w:lang w:bidi="en-US"/>
    </w:rPr>
  </w:style>
  <w:style w:type="paragraph" w:customStyle="1" w:styleId="698">
    <w:name w:val="列表1"/>
    <w:basedOn w:val="1"/>
    <w:qFormat/>
    <w:uiPriority w:val="0"/>
    <w:pPr>
      <w:tabs>
        <w:tab w:val="left" w:pos="360"/>
      </w:tabs>
      <w:spacing w:line="328" w:lineRule="auto"/>
      <w:ind w:left="360" w:hanging="360"/>
      <w:jc w:val="center"/>
    </w:pPr>
    <w:rPr>
      <w:rFonts w:ascii="宋体" w:hAnsi="宋体"/>
      <w:sz w:val="24"/>
      <w:szCs w:val="44"/>
    </w:rPr>
  </w:style>
  <w:style w:type="paragraph" w:customStyle="1" w:styleId="699">
    <w:name w:val="MM Topic 6"/>
    <w:basedOn w:val="9"/>
    <w:qFormat/>
    <w:uiPriority w:val="0"/>
    <w:pPr>
      <w:adjustRightInd/>
      <w:spacing w:line="319" w:lineRule="auto"/>
      <w:ind w:firstLine="200" w:firstLineChars="200"/>
      <w:textAlignment w:val="auto"/>
    </w:pPr>
    <w:rPr>
      <w:bCs/>
      <w:szCs w:val="24"/>
    </w:rPr>
  </w:style>
  <w:style w:type="paragraph" w:customStyle="1" w:styleId="700">
    <w:name w:val="样式 宋体 加粗 首行缩进:  0.74 厘米 行距: 1.5 倍行距"/>
    <w:basedOn w:val="1"/>
    <w:qFormat/>
    <w:uiPriority w:val="0"/>
    <w:pPr>
      <w:ind w:firstLine="420"/>
    </w:pPr>
    <w:rPr>
      <w:rFonts w:ascii="宋体" w:hAnsi="宋体" w:cs="宋体"/>
      <w:b/>
      <w:bCs/>
      <w:spacing w:val="4"/>
      <w:sz w:val="24"/>
    </w:rPr>
  </w:style>
  <w:style w:type="paragraph" w:customStyle="1" w:styleId="701">
    <w:name w:val="样式 题注 + (西文) 宋体 五号 加粗 段前: 2.4 磅 段后: 2.4 磅 行距: 1.5 倍行距"/>
    <w:basedOn w:val="20"/>
    <w:qFormat/>
    <w:uiPriority w:val="0"/>
    <w:pPr>
      <w:spacing w:before="48" w:after="48" w:line="360" w:lineRule="auto"/>
    </w:pPr>
    <w:rPr>
      <w:rFonts w:ascii="宋体" w:hAnsi="宋体" w:eastAsia="黑体" w:cs="宋体"/>
      <w:b/>
      <w:bCs/>
      <w:kern w:val="0"/>
      <w:sz w:val="24"/>
      <w:lang w:eastAsia="ar-SA"/>
    </w:rPr>
  </w:style>
  <w:style w:type="paragraph" w:customStyle="1" w:styleId="702">
    <w:name w:val="Style Heading 2 + Line spacing:  1.5 lines"/>
    <w:basedOn w:val="4"/>
    <w:qFormat/>
    <w:uiPriority w:val="0"/>
    <w:pPr>
      <w:autoSpaceDE/>
      <w:autoSpaceDN/>
      <w:adjustRightInd/>
      <w:spacing w:after="120" w:line="360" w:lineRule="auto"/>
    </w:pPr>
    <w:rPr>
      <w:bCs/>
      <w:kern w:val="2"/>
      <w:sz w:val="32"/>
      <w:szCs w:val="32"/>
    </w:rPr>
  </w:style>
  <w:style w:type="paragraph" w:customStyle="1" w:styleId="703">
    <w:name w:val="FA正文"/>
    <w:basedOn w:val="1"/>
    <w:qFormat/>
    <w:uiPriority w:val="0"/>
    <w:pPr>
      <w:tabs>
        <w:tab w:val="left" w:pos="960"/>
      </w:tabs>
    </w:pPr>
    <w:rPr>
      <w:rFonts w:hAnsi="宋体" w:cs="宋体"/>
      <w:sz w:val="24"/>
      <w:szCs w:val="21"/>
    </w:rPr>
  </w:style>
  <w:style w:type="paragraph" w:customStyle="1" w:styleId="704">
    <w:name w:val="图标"/>
    <w:basedOn w:val="1"/>
    <w:next w:val="1"/>
    <w:qFormat/>
    <w:uiPriority w:val="0"/>
    <w:pPr>
      <w:tabs>
        <w:tab w:val="left" w:pos="567"/>
        <w:tab w:val="left" w:pos="1911"/>
      </w:tabs>
      <w:autoSpaceDE w:val="0"/>
      <w:autoSpaceDN w:val="0"/>
      <w:adjustRightInd w:val="0"/>
      <w:snapToGrid w:val="0"/>
      <w:spacing w:before="120" w:after="120" w:line="320" w:lineRule="atLeast"/>
      <w:ind w:left="1911" w:hanging="720"/>
      <w:jc w:val="center"/>
      <w:textAlignment w:val="baseline"/>
    </w:pPr>
    <w:rPr>
      <w:rFonts w:eastAsia="仿宋_GB2312"/>
      <w:kern w:val="0"/>
      <w:sz w:val="24"/>
    </w:rPr>
  </w:style>
  <w:style w:type="paragraph" w:customStyle="1" w:styleId="705">
    <w:name w:val="二级节标题"/>
    <w:next w:val="1"/>
    <w:qFormat/>
    <w:uiPriority w:val="0"/>
    <w:pPr>
      <w:tabs>
        <w:tab w:val="left" w:pos="672"/>
        <w:tab w:val="left" w:pos="1191"/>
        <w:tab w:val="left" w:pos="1680"/>
      </w:tabs>
      <w:spacing w:before="240" w:after="240" w:line="400" w:lineRule="atLeast"/>
      <w:ind w:left="1680" w:hanging="420"/>
      <w:outlineLvl w:val="2"/>
    </w:pPr>
    <w:rPr>
      <w:rFonts w:ascii="Arial" w:hAnsi="Arial" w:eastAsia="宋体" w:cs="Times New Roman"/>
      <w:b/>
      <w:sz w:val="30"/>
      <w:szCs w:val="30"/>
      <w:lang w:val="en-US" w:eastAsia="zh-CN" w:bidi="ar-SA"/>
    </w:rPr>
  </w:style>
  <w:style w:type="character" w:customStyle="1" w:styleId="706">
    <w:name w:val="样式 标题 2 + (符号) 宋体 小四 Char Char"/>
    <w:qFormat/>
    <w:uiPriority w:val="0"/>
    <w:rPr>
      <w:rFonts w:ascii="Arial" w:hAnsi="Arial" w:eastAsia="宋体"/>
      <w:b/>
      <w:bCs/>
      <w:kern w:val="2"/>
      <w:sz w:val="24"/>
      <w:szCs w:val="32"/>
      <w:lang w:val="en-US" w:eastAsia="zh-CN" w:bidi="ar-SA"/>
    </w:rPr>
  </w:style>
  <w:style w:type="paragraph" w:customStyle="1" w:styleId="707">
    <w:name w:val="倪芳"/>
    <w:basedOn w:val="1"/>
    <w:qFormat/>
    <w:uiPriority w:val="0"/>
    <w:pPr>
      <w:spacing w:before="25" w:beforeLines="25" w:after="15" w:afterLines="15" w:line="400" w:lineRule="exact"/>
    </w:pPr>
    <w:rPr>
      <w:rFonts w:ascii="宋体" w:hAnsi="Courier New" w:cs="Courier New"/>
      <w:sz w:val="24"/>
      <w:szCs w:val="21"/>
    </w:rPr>
  </w:style>
  <w:style w:type="paragraph" w:customStyle="1" w:styleId="708">
    <w:name w:val="样式 标题 2 + (符号) 宋体 小四"/>
    <w:basedOn w:val="4"/>
    <w:qFormat/>
    <w:uiPriority w:val="0"/>
    <w:pPr>
      <w:autoSpaceDE/>
      <w:autoSpaceDN/>
      <w:adjustRightInd/>
      <w:spacing w:before="260" w:after="260" w:line="416" w:lineRule="auto"/>
      <w:jc w:val="both"/>
    </w:pPr>
    <w:rPr>
      <w:rFonts w:eastAsia="宋体"/>
      <w:b w:val="0"/>
      <w:bCs/>
      <w:kern w:val="2"/>
      <w:sz w:val="24"/>
      <w:szCs w:val="32"/>
      <w:lang w:val="zh-CN"/>
    </w:rPr>
  </w:style>
  <w:style w:type="character" w:customStyle="1" w:styleId="709">
    <w:name w:val="样式 标题 2 + (符号) 宋体 小四 Char"/>
    <w:qFormat/>
    <w:uiPriority w:val="0"/>
    <w:rPr>
      <w:rFonts w:ascii="Arial" w:hAnsi="Arial" w:eastAsia="宋体"/>
      <w:b/>
      <w:bCs/>
      <w:kern w:val="2"/>
      <w:sz w:val="24"/>
      <w:szCs w:val="32"/>
      <w:lang w:val="en-US" w:eastAsia="zh-CN" w:bidi="ar-SA"/>
    </w:rPr>
  </w:style>
  <w:style w:type="paragraph" w:customStyle="1" w:styleId="710">
    <w:name w:val="默认段落字体 Para Char Char Char Char Char Char Char Char Char Char"/>
    <w:basedOn w:val="23"/>
    <w:qFormat/>
    <w:uiPriority w:val="0"/>
    <w:rPr>
      <w:rFonts w:ascii="Tahoma" w:hAnsi="Tahoma"/>
      <w:sz w:val="24"/>
      <w:lang w:val="zh-CN"/>
    </w:rPr>
  </w:style>
  <w:style w:type="character" w:customStyle="1" w:styleId="711">
    <w:name w:val="Char Char8"/>
    <w:qFormat/>
    <w:uiPriority w:val="0"/>
    <w:rPr>
      <w:rFonts w:eastAsia="宋体"/>
      <w:kern w:val="2"/>
      <w:sz w:val="24"/>
      <w:lang w:val="en-US" w:eastAsia="zh-CN" w:bidi="ar-SA"/>
    </w:rPr>
  </w:style>
  <w:style w:type="character" w:customStyle="1" w:styleId="712">
    <w:name w:val="标题 1 Char1"/>
    <w:qFormat/>
    <w:uiPriority w:val="0"/>
    <w:rPr>
      <w:rFonts w:ascii="黑体" w:eastAsia="黑体"/>
      <w:sz w:val="52"/>
      <w:lang w:val="zh-CN" w:eastAsia="zh-CN"/>
    </w:rPr>
  </w:style>
  <w:style w:type="paragraph" w:customStyle="1" w:styleId="713">
    <w:name w:val="Char131"/>
    <w:basedOn w:val="1"/>
    <w:qFormat/>
    <w:uiPriority w:val="0"/>
    <w:rPr>
      <w:rFonts w:ascii="Tahoma" w:hAnsi="Tahoma"/>
      <w:sz w:val="24"/>
      <w:szCs w:val="20"/>
    </w:rPr>
  </w:style>
  <w:style w:type="character" w:customStyle="1" w:styleId="714">
    <w:name w:val="Char Char131"/>
    <w:qFormat/>
    <w:uiPriority w:val="0"/>
    <w:rPr>
      <w:rFonts w:eastAsia="宋体"/>
      <w:kern w:val="2"/>
      <w:sz w:val="24"/>
      <w:lang w:val="en-US" w:eastAsia="zh-CN" w:bidi="ar-SA"/>
    </w:rPr>
  </w:style>
  <w:style w:type="paragraph" w:customStyle="1" w:styleId="715">
    <w:name w:val="Char Char Char Char4"/>
    <w:basedOn w:val="1"/>
    <w:qFormat/>
    <w:uiPriority w:val="0"/>
    <w:pPr>
      <w:widowControl/>
      <w:spacing w:after="160" w:line="240" w:lineRule="exact"/>
      <w:jc w:val="left"/>
    </w:pPr>
    <w:rPr>
      <w:szCs w:val="20"/>
    </w:rPr>
  </w:style>
  <w:style w:type="character" w:customStyle="1" w:styleId="716">
    <w:name w:val="H4 Char"/>
    <w:qFormat/>
    <w:uiPriority w:val="0"/>
    <w:rPr>
      <w:b/>
      <w:sz w:val="28"/>
    </w:rPr>
  </w:style>
  <w:style w:type="character" w:customStyle="1" w:styleId="717">
    <w:name w:val="Heading 1 Char"/>
    <w:qFormat/>
    <w:locked/>
    <w:uiPriority w:val="0"/>
    <w:rPr>
      <w:rFonts w:ascii="黑体" w:hAnsi="Times New Roman" w:eastAsia="黑体" w:cs="Times New Roman"/>
      <w:kern w:val="0"/>
      <w:sz w:val="20"/>
      <w:szCs w:val="20"/>
    </w:rPr>
  </w:style>
  <w:style w:type="character" w:customStyle="1" w:styleId="718">
    <w:name w:val="Heading 2 Char"/>
    <w:qFormat/>
    <w:locked/>
    <w:uiPriority w:val="0"/>
    <w:rPr>
      <w:rFonts w:ascii="Times New Roman" w:hAnsi="Times New Roman" w:eastAsia="宋体" w:cs="Times New Roman"/>
      <w:b/>
      <w:kern w:val="0"/>
      <w:sz w:val="32"/>
      <w:szCs w:val="32"/>
    </w:rPr>
  </w:style>
  <w:style w:type="character" w:customStyle="1" w:styleId="719">
    <w:name w:val="Heading 4 Char"/>
    <w:qFormat/>
    <w:locked/>
    <w:uiPriority w:val="0"/>
    <w:rPr>
      <w:rFonts w:ascii="Times New Roman" w:hAnsi="Times New Roman" w:eastAsia="宋体" w:cs="Times New Roman"/>
      <w:b/>
      <w:kern w:val="0"/>
      <w:sz w:val="20"/>
      <w:szCs w:val="20"/>
    </w:rPr>
  </w:style>
  <w:style w:type="character" w:customStyle="1" w:styleId="720">
    <w:name w:val="Heading 5 Char"/>
    <w:qFormat/>
    <w:locked/>
    <w:uiPriority w:val="0"/>
    <w:rPr>
      <w:rFonts w:ascii="Times New Roman" w:hAnsi="Times New Roman" w:eastAsia="宋体" w:cs="Times New Roman"/>
      <w:b/>
      <w:bCs/>
      <w:sz w:val="28"/>
      <w:szCs w:val="28"/>
    </w:rPr>
  </w:style>
  <w:style w:type="character" w:customStyle="1" w:styleId="721">
    <w:name w:val="Heading 6 Char"/>
    <w:qFormat/>
    <w:locked/>
    <w:uiPriority w:val="0"/>
    <w:rPr>
      <w:rFonts w:ascii="Arial" w:hAnsi="Arial" w:eastAsia="黑体" w:cs="Times New Roman"/>
      <w:b/>
      <w:bCs/>
      <w:kern w:val="0"/>
      <w:sz w:val="24"/>
      <w:szCs w:val="24"/>
    </w:rPr>
  </w:style>
  <w:style w:type="character" w:customStyle="1" w:styleId="722">
    <w:name w:val="Heading 7 Char"/>
    <w:qFormat/>
    <w:locked/>
    <w:uiPriority w:val="0"/>
    <w:rPr>
      <w:rFonts w:ascii="Times New Roman" w:hAnsi="Times New Roman" w:eastAsia="宋体" w:cs="Times New Roman"/>
      <w:b/>
      <w:bCs/>
      <w:kern w:val="0"/>
      <w:sz w:val="24"/>
      <w:szCs w:val="24"/>
    </w:rPr>
  </w:style>
  <w:style w:type="character" w:customStyle="1" w:styleId="723">
    <w:name w:val="Heading 8 Char"/>
    <w:qFormat/>
    <w:locked/>
    <w:uiPriority w:val="0"/>
    <w:rPr>
      <w:rFonts w:ascii="Arial" w:hAnsi="Arial" w:eastAsia="黑体" w:cs="Times New Roman"/>
      <w:kern w:val="0"/>
      <w:sz w:val="24"/>
      <w:szCs w:val="24"/>
    </w:rPr>
  </w:style>
  <w:style w:type="character" w:customStyle="1" w:styleId="724">
    <w:name w:val="Heading 9 Char"/>
    <w:qFormat/>
    <w:locked/>
    <w:uiPriority w:val="0"/>
    <w:rPr>
      <w:rFonts w:ascii="Arial" w:hAnsi="Arial" w:eastAsia="黑体" w:cs="Times New Roman"/>
      <w:kern w:val="0"/>
      <w:sz w:val="21"/>
      <w:szCs w:val="21"/>
    </w:rPr>
  </w:style>
  <w:style w:type="character" w:customStyle="1" w:styleId="725">
    <w:name w:val="Document Map Char"/>
    <w:qFormat/>
    <w:locked/>
    <w:uiPriority w:val="0"/>
    <w:rPr>
      <w:rFonts w:ascii="Times New Roman" w:hAnsi="Times New Roman" w:eastAsia="宋体" w:cs="Times New Roman"/>
      <w:sz w:val="24"/>
      <w:szCs w:val="24"/>
      <w:shd w:val="clear" w:color="auto" w:fill="000080"/>
    </w:rPr>
  </w:style>
  <w:style w:type="character" w:customStyle="1" w:styleId="726">
    <w:name w:val="Header Char"/>
    <w:qFormat/>
    <w:locked/>
    <w:uiPriority w:val="0"/>
    <w:rPr>
      <w:rFonts w:ascii="Times New Roman" w:hAnsi="Times New Roman" w:eastAsia="宋体" w:cs="Times New Roman"/>
      <w:kern w:val="0"/>
      <w:sz w:val="20"/>
      <w:szCs w:val="20"/>
    </w:rPr>
  </w:style>
  <w:style w:type="character" w:customStyle="1" w:styleId="727">
    <w:name w:val="Footer Char"/>
    <w:qFormat/>
    <w:locked/>
    <w:uiPriority w:val="0"/>
    <w:rPr>
      <w:rFonts w:ascii="Times New Roman" w:hAnsi="Times New Roman" w:eastAsia="宋体" w:cs="Times New Roman"/>
      <w:kern w:val="0"/>
      <w:sz w:val="20"/>
      <w:szCs w:val="20"/>
    </w:rPr>
  </w:style>
  <w:style w:type="character" w:customStyle="1" w:styleId="728">
    <w:name w:val="Plain Text Char"/>
    <w:qFormat/>
    <w:locked/>
    <w:uiPriority w:val="0"/>
    <w:rPr>
      <w:rFonts w:ascii="宋体" w:hAnsi="Courier New" w:eastAsia="宋体" w:cs="Times New Roman"/>
      <w:sz w:val="20"/>
      <w:szCs w:val="20"/>
    </w:rPr>
  </w:style>
  <w:style w:type="character" w:customStyle="1" w:styleId="729">
    <w:name w:val="Body Text Indent 2 Char"/>
    <w:qFormat/>
    <w:locked/>
    <w:uiPriority w:val="0"/>
    <w:rPr>
      <w:rFonts w:ascii="Times New Roman" w:hAnsi="Times New Roman" w:eastAsia="宋体" w:cs="Times New Roman"/>
      <w:sz w:val="30"/>
      <w:szCs w:val="30"/>
    </w:rPr>
  </w:style>
  <w:style w:type="character" w:customStyle="1" w:styleId="730">
    <w:name w:val="Body Text Indent 3 Char"/>
    <w:qFormat/>
    <w:locked/>
    <w:uiPriority w:val="0"/>
    <w:rPr>
      <w:rFonts w:ascii="Times New Roman" w:hAnsi="Times New Roman" w:eastAsia="宋体" w:cs="Times New Roman"/>
      <w:sz w:val="30"/>
      <w:szCs w:val="30"/>
    </w:rPr>
  </w:style>
  <w:style w:type="character" w:customStyle="1" w:styleId="731">
    <w:name w:val="Body Text First Indent 2 Char"/>
    <w:qFormat/>
    <w:locked/>
    <w:uiPriority w:val="0"/>
    <w:rPr>
      <w:rFonts w:ascii="Times New Roman" w:hAnsi="Times New Roman" w:eastAsia="宋体" w:cs="Times New Roman"/>
      <w:kern w:val="0"/>
      <w:sz w:val="24"/>
      <w:szCs w:val="24"/>
    </w:rPr>
  </w:style>
  <w:style w:type="character" w:customStyle="1" w:styleId="732">
    <w:name w:val="Body Text 2 Char"/>
    <w:qFormat/>
    <w:locked/>
    <w:uiPriority w:val="0"/>
    <w:rPr>
      <w:rFonts w:ascii="宋体" w:hAnsi="Times New Roman" w:eastAsia="宋体" w:cs="Times New Roman"/>
      <w:sz w:val="20"/>
      <w:szCs w:val="20"/>
    </w:rPr>
  </w:style>
  <w:style w:type="character" w:customStyle="1" w:styleId="733">
    <w:name w:val="Balloon Text Char"/>
    <w:qFormat/>
    <w:locked/>
    <w:uiPriority w:val="0"/>
    <w:rPr>
      <w:rFonts w:ascii="Times New Roman" w:hAnsi="Times New Roman" w:eastAsia="宋体" w:cs="Times New Roman"/>
      <w:sz w:val="18"/>
      <w:szCs w:val="18"/>
    </w:rPr>
  </w:style>
  <w:style w:type="character" w:customStyle="1" w:styleId="734">
    <w:name w:val="Salutation Char"/>
    <w:qFormat/>
    <w:locked/>
    <w:uiPriority w:val="0"/>
    <w:rPr>
      <w:rFonts w:ascii="..ì." w:hAnsi="Times New Roman" w:eastAsia="..ì." w:cs="Times New Roman"/>
      <w:kern w:val="0"/>
      <w:sz w:val="20"/>
      <w:szCs w:val="20"/>
    </w:rPr>
  </w:style>
  <w:style w:type="character" w:customStyle="1" w:styleId="735">
    <w:name w:val="Note Heading Char"/>
    <w:qFormat/>
    <w:locked/>
    <w:uiPriority w:val="0"/>
    <w:rPr>
      <w:rFonts w:ascii="..ì." w:hAnsi="Times New Roman" w:eastAsia="..ì." w:cs="Times New Roman"/>
      <w:kern w:val="0"/>
      <w:sz w:val="20"/>
      <w:szCs w:val="20"/>
    </w:rPr>
  </w:style>
  <w:style w:type="paragraph" w:customStyle="1" w:styleId="736">
    <w:name w:val="修订21"/>
    <w:qFormat/>
    <w:uiPriority w:val="99"/>
    <w:rPr>
      <w:rFonts w:ascii="Times New Roman" w:hAnsi="Times New Roman" w:eastAsia="宋体" w:cs="Times New Roman"/>
      <w:kern w:val="2"/>
      <w:sz w:val="21"/>
      <w:szCs w:val="24"/>
      <w:lang w:val="en-US" w:eastAsia="zh-CN" w:bidi="ar-SA"/>
    </w:rPr>
  </w:style>
  <w:style w:type="paragraph" w:customStyle="1" w:styleId="737">
    <w:name w:val="TOC 标题21"/>
    <w:basedOn w:val="3"/>
    <w:next w:val="1"/>
    <w:qFormat/>
    <w:uiPriority w:val="39"/>
    <w:pPr>
      <w:autoSpaceDE/>
      <w:autoSpaceDN/>
      <w:adjustRightInd/>
      <w:spacing w:before="340" w:after="330" w:line="578" w:lineRule="auto"/>
      <w:jc w:val="both"/>
      <w:outlineLvl w:val="9"/>
    </w:pPr>
    <w:rPr>
      <w:rFonts w:ascii="Times New Roman"/>
      <w:bCs/>
      <w:sz w:val="44"/>
      <w:szCs w:val="44"/>
    </w:rPr>
  </w:style>
  <w:style w:type="character" w:customStyle="1" w:styleId="738">
    <w:name w:val="Body Text 3 Char"/>
    <w:qFormat/>
    <w:locked/>
    <w:uiPriority w:val="0"/>
    <w:rPr>
      <w:rFonts w:ascii="Times New Roman" w:hAnsi="Times New Roman" w:eastAsia="宋体" w:cs="Times New Roman"/>
      <w:sz w:val="16"/>
      <w:szCs w:val="16"/>
    </w:rPr>
  </w:style>
  <w:style w:type="character" w:customStyle="1" w:styleId="739">
    <w:name w:val="Title Char"/>
    <w:qFormat/>
    <w:locked/>
    <w:uiPriority w:val="0"/>
    <w:rPr>
      <w:rFonts w:ascii="Arial" w:hAnsi="Arial" w:eastAsia="宋体" w:cs="Times New Roman"/>
      <w:b/>
      <w:kern w:val="0"/>
      <w:sz w:val="20"/>
      <w:szCs w:val="20"/>
    </w:rPr>
  </w:style>
  <w:style w:type="character" w:customStyle="1" w:styleId="740">
    <w:name w:val="Comment Subject Char"/>
    <w:qFormat/>
    <w:locked/>
    <w:uiPriority w:val="0"/>
    <w:rPr>
      <w:rFonts w:ascii="Times New Roman" w:hAnsi="Times New Roman" w:eastAsia="宋体" w:cs="Times New Roman"/>
      <w:b/>
      <w:bCs/>
      <w:sz w:val="24"/>
      <w:szCs w:val="24"/>
    </w:rPr>
  </w:style>
  <w:style w:type="character" w:customStyle="1" w:styleId="741">
    <w:name w:val="Comment Text Char"/>
    <w:qFormat/>
    <w:locked/>
    <w:uiPriority w:val="0"/>
    <w:rPr>
      <w:rFonts w:ascii="Times New Roman" w:hAnsi="Times New Roman" w:eastAsia="宋体"/>
      <w:sz w:val="24"/>
    </w:rPr>
  </w:style>
  <w:style w:type="paragraph" w:customStyle="1" w:styleId="742">
    <w:name w:val="列出段落3"/>
    <w:basedOn w:val="1"/>
    <w:qFormat/>
    <w:uiPriority w:val="0"/>
    <w:pPr>
      <w:ind w:firstLine="420" w:firstLineChars="200"/>
    </w:pPr>
  </w:style>
  <w:style w:type="paragraph" w:customStyle="1" w:styleId="7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44">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45">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46">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748">
    <w:name w:val="xl72"/>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49">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75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51">
    <w:name w:val="列项——"/>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752">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character" w:customStyle="1" w:styleId="753">
    <w:name w:val="正文文本 (2)_"/>
    <w:link w:val="754"/>
    <w:qFormat/>
    <w:uiPriority w:val="0"/>
    <w:rPr>
      <w:rFonts w:ascii="MingLiU" w:hAnsi="MingLiU" w:eastAsia="MingLiU" w:cs="MingLiU"/>
      <w:sz w:val="19"/>
      <w:szCs w:val="19"/>
      <w:shd w:val="clear" w:color="auto" w:fill="FFFFFF"/>
    </w:rPr>
  </w:style>
  <w:style w:type="paragraph" w:customStyle="1" w:styleId="754">
    <w:name w:val="正文文本 (2)9"/>
    <w:basedOn w:val="1"/>
    <w:link w:val="753"/>
    <w:qFormat/>
    <w:uiPriority w:val="0"/>
    <w:pPr>
      <w:shd w:val="clear" w:color="auto" w:fill="FFFFFF"/>
      <w:spacing w:after="360" w:line="0" w:lineRule="atLeast"/>
      <w:ind w:hanging="520"/>
      <w:jc w:val="distribute"/>
    </w:pPr>
    <w:rPr>
      <w:rFonts w:ascii="MingLiU" w:hAnsi="MingLiU" w:eastAsia="MingLiU"/>
      <w:kern w:val="0"/>
      <w:sz w:val="19"/>
      <w:szCs w:val="19"/>
    </w:rPr>
  </w:style>
  <w:style w:type="character" w:customStyle="1" w:styleId="755">
    <w:name w:val="正文文本 (2)"/>
    <w:qFormat/>
    <w:uiPriority w:val="0"/>
    <w:rPr>
      <w:rFonts w:ascii="MingLiU" w:hAnsi="MingLiU" w:eastAsia="MingLiU" w:cs="MingLiU"/>
      <w:color w:val="000000"/>
      <w:spacing w:val="0"/>
      <w:w w:val="100"/>
      <w:position w:val="0"/>
      <w:sz w:val="19"/>
      <w:szCs w:val="19"/>
      <w:shd w:val="clear" w:color="auto" w:fill="FFFFFF"/>
      <w:lang w:val="zh-CN" w:eastAsia="zh-CN" w:bidi="zh-CN"/>
    </w:rPr>
  </w:style>
  <w:style w:type="character" w:customStyle="1" w:styleId="756">
    <w:name w:val="正文文本 (2)1"/>
    <w:qFormat/>
    <w:uiPriority w:val="0"/>
    <w:rPr>
      <w:rFonts w:ascii="MingLiU" w:hAnsi="MingLiU" w:eastAsia="MingLiU" w:cs="MingLiU"/>
      <w:color w:val="000000"/>
      <w:spacing w:val="0"/>
      <w:w w:val="100"/>
      <w:position w:val="0"/>
      <w:sz w:val="19"/>
      <w:szCs w:val="19"/>
      <w:u w:val="single"/>
      <w:shd w:val="clear" w:color="auto" w:fill="FFFFFF"/>
      <w:lang w:val="zh-CN" w:eastAsia="zh-CN" w:bidi="zh-CN"/>
    </w:rPr>
  </w:style>
  <w:style w:type="character" w:customStyle="1" w:styleId="757">
    <w:name w:val="正文文本 (2) + 间距 1 pt"/>
    <w:qFormat/>
    <w:uiPriority w:val="0"/>
    <w:rPr>
      <w:rFonts w:ascii="MingLiU" w:hAnsi="MingLiU" w:eastAsia="MingLiU" w:cs="MingLiU"/>
      <w:color w:val="000000"/>
      <w:spacing w:val="20"/>
      <w:w w:val="100"/>
      <w:position w:val="0"/>
      <w:sz w:val="19"/>
      <w:szCs w:val="19"/>
      <w:shd w:val="clear" w:color="auto" w:fill="FFFFFF"/>
      <w:lang w:val="zh-CN" w:eastAsia="zh-CN" w:bidi="zh-CN"/>
    </w:rPr>
  </w:style>
  <w:style w:type="character" w:customStyle="1" w:styleId="758">
    <w:name w:val="日期 Char2"/>
    <w:qFormat/>
    <w:uiPriority w:val="0"/>
  </w:style>
  <w:style w:type="character" w:customStyle="1" w:styleId="759">
    <w:name w:val="页眉 Char2"/>
    <w:qFormat/>
    <w:uiPriority w:val="99"/>
    <w:rPr>
      <w:sz w:val="18"/>
      <w:szCs w:val="18"/>
    </w:rPr>
  </w:style>
  <w:style w:type="character" w:customStyle="1" w:styleId="760">
    <w:name w:val="页脚 Char2"/>
    <w:qFormat/>
    <w:uiPriority w:val="99"/>
    <w:rPr>
      <w:sz w:val="18"/>
      <w:szCs w:val="18"/>
    </w:rPr>
  </w:style>
  <w:style w:type="character" w:customStyle="1" w:styleId="761">
    <w:name w:val="标题 3 Char2"/>
    <w:qFormat/>
    <w:uiPriority w:val="0"/>
    <w:rPr>
      <w:rFonts w:ascii="Times New Roman" w:hAnsi="Times New Roman" w:eastAsia="宋体" w:cs="Times New Roman"/>
      <w:b/>
      <w:bCs/>
      <w:sz w:val="32"/>
      <w:szCs w:val="32"/>
      <w:lang w:val="zh-CN" w:eastAsia="zh-CN"/>
    </w:rPr>
  </w:style>
  <w:style w:type="character" w:customStyle="1" w:styleId="762">
    <w:name w:val="批注文字 Char2"/>
    <w:qFormat/>
    <w:uiPriority w:val="0"/>
  </w:style>
  <w:style w:type="character" w:customStyle="1" w:styleId="763">
    <w:name w:val="批注框文本 Char2"/>
    <w:qFormat/>
    <w:uiPriority w:val="99"/>
    <w:rPr>
      <w:sz w:val="18"/>
      <w:szCs w:val="18"/>
    </w:rPr>
  </w:style>
  <w:style w:type="character" w:customStyle="1" w:styleId="764">
    <w:name w:val="未处理的提及11"/>
    <w:unhideWhenUsed/>
    <w:qFormat/>
    <w:uiPriority w:val="99"/>
    <w:rPr>
      <w:color w:val="605E5C"/>
      <w:shd w:val="clear" w:color="auto" w:fill="E1DFDD"/>
    </w:rPr>
  </w:style>
  <w:style w:type="character" w:customStyle="1" w:styleId="765">
    <w:name w:val="书籍标题11"/>
    <w:qFormat/>
    <w:uiPriority w:val="33"/>
    <w:rPr>
      <w:b/>
      <w:bCs/>
      <w:smallCaps/>
      <w:spacing w:val="5"/>
    </w:rPr>
  </w:style>
  <w:style w:type="paragraph" w:customStyle="1" w:styleId="766">
    <w:name w:val="彩色列表 - 强调文字颜色 11"/>
    <w:qFormat/>
    <w:uiPriority w:val="34"/>
    <w:rPr>
      <w:rFonts w:ascii="Times New Roman" w:hAnsi="Times New Roman" w:eastAsia="宋体" w:cs="Times New Roman"/>
      <w:kern w:val="2"/>
      <w:sz w:val="21"/>
      <w:szCs w:val="22"/>
      <w:lang w:val="en-US" w:eastAsia="zh-CN" w:bidi="ar-SA"/>
    </w:rPr>
  </w:style>
  <w:style w:type="paragraph" w:customStyle="1" w:styleId="767">
    <w:name w:val="Char13"/>
    <w:basedOn w:val="1"/>
    <w:qFormat/>
    <w:uiPriority w:val="0"/>
    <w:rPr>
      <w:rFonts w:ascii="Tahoma" w:hAnsi="Tahoma"/>
      <w:sz w:val="24"/>
      <w:szCs w:val="20"/>
    </w:rPr>
  </w:style>
  <w:style w:type="character" w:customStyle="1" w:styleId="768">
    <w:name w:val="Char Char13"/>
    <w:qFormat/>
    <w:uiPriority w:val="0"/>
    <w:rPr>
      <w:rFonts w:hint="eastAsia" w:ascii="宋体" w:hAnsi="宋体" w:eastAsia="宋体"/>
      <w:kern w:val="2"/>
      <w:sz w:val="24"/>
      <w:lang w:val="en-US" w:eastAsia="zh-CN" w:bidi="ar-SA"/>
    </w:rPr>
  </w:style>
  <w:style w:type="table" w:customStyle="1" w:styleId="769">
    <w:name w:val="网格型2"/>
    <w:basedOn w:val="67"/>
    <w:qFormat/>
    <w:uiPriority w:val="3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网格型3"/>
    <w:basedOn w:val="67"/>
    <w:qFormat/>
    <w:uiPriority w:val="3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网格型4"/>
    <w:basedOn w:val="67"/>
    <w:qFormat/>
    <w:uiPriority w:val="3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2">
    <w:name w:val="正文_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3">
    <w:name w:val="WPSOffice手动目录 1"/>
    <w:qFormat/>
    <w:uiPriority w:val="0"/>
    <w:rPr>
      <w:rFonts w:ascii="Times New Roman" w:hAnsi="Times New Roman" w:eastAsia="宋体" w:cs="Times New Roman"/>
      <w:lang w:val="en-US" w:eastAsia="zh-CN" w:bidi="ar-SA"/>
    </w:rPr>
  </w:style>
  <w:style w:type="paragraph" w:customStyle="1" w:styleId="7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5">
    <w:name w:val="列表段落1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776">
    <w:name w:val="无间隔2"/>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777">
    <w:name w:val="未处理的提及3"/>
    <w:unhideWhenUsed/>
    <w:qFormat/>
    <w:uiPriority w:val="99"/>
    <w:rPr>
      <w:color w:val="605E5C"/>
      <w:shd w:val="clear" w:color="auto" w:fill="E1DFDD"/>
    </w:rPr>
  </w:style>
  <w:style w:type="paragraph" w:customStyle="1" w:styleId="778">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wmf"/><Relationship Id="rId35" Type="http://schemas.openxmlformats.org/officeDocument/2006/relationships/oleObject" Target="embeddings/oleObject1.bin"/><Relationship Id="rId34" Type="http://schemas.openxmlformats.org/officeDocument/2006/relationships/theme" Target="theme/theme1.xml"/><Relationship Id="rId33" Type="http://schemas.openxmlformats.org/officeDocument/2006/relationships/footer" Target="footer11.xml"/><Relationship Id="rId32" Type="http://schemas.openxmlformats.org/officeDocument/2006/relationships/footer" Target="footer10.xml"/><Relationship Id="rId31" Type="http://schemas.openxmlformats.org/officeDocument/2006/relationships/header" Target="header20.xml"/><Relationship Id="rId30" Type="http://schemas.openxmlformats.org/officeDocument/2006/relationships/header" Target="header19.xml"/><Relationship Id="rId3" Type="http://schemas.openxmlformats.org/officeDocument/2006/relationships/header" Target="header1.xml"/><Relationship Id="rId29" Type="http://schemas.openxmlformats.org/officeDocument/2006/relationships/header" Target="header18.xml"/><Relationship Id="rId28" Type="http://schemas.openxmlformats.org/officeDocument/2006/relationships/footer" Target="footer9.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footer" Target="footer8.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BCC2E-EDA3-4098-86E6-7B3FFC885F1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127</Pages>
  <Words>18330</Words>
  <Characters>18958</Characters>
  <Lines>149</Lines>
  <Paragraphs>193</Paragraphs>
  <TotalTime>46</TotalTime>
  <ScaleCrop>false</ScaleCrop>
  <LinksUpToDate>false</LinksUpToDate>
  <CharactersWithSpaces>19148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2025-06-06T06:02:00Z</dcterms:created>
  <dc:creator>Yin Hao</dc:creator>
  <cp:lastModifiedBy>allalong</cp:lastModifiedBy>
  <cp:lastPrinted>2024-07-18T14:28:00Z</cp:lastPrinted>
  <dcterms:modified xsi:type="dcterms:W3CDTF">2025-06-06T07:18:46Z</dcterms:modified>
  <dc:title>02年杜范本稿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A55C5B97C5E84A2A8126C8D396B85C20_13</vt:lpwstr>
  </property>
  <property fmtid="{D5CDD505-2E9C-101B-9397-08002B2CF9AE}" pid="4" name="KSOTemplateDocerSaveRecord">
    <vt:lpwstr>eyJoZGlkIjoiMmU4YzEwMTYxZjliNGUzMGRkYzYwN2E2MTdiMDc4ODUiLCJ1c2VySWQiOiIzODgyNTQ1NzAifQ==</vt:lpwstr>
  </property>
</Properties>
</file>